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A4D001E" w:rsidR="0025617A" w:rsidRPr="001B3603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1B3603">
        <w:rPr>
          <w:rFonts w:asciiTheme="minorHAnsi" w:hAnsiTheme="minorHAnsi" w:cs="Arial"/>
          <w:sz w:val="40"/>
          <w:lang w:val="en-US"/>
        </w:rPr>
        <w:t>/ RFC-Proposal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7A7FDA65" w:rsidR="00CE056E" w:rsidRPr="00402055" w:rsidRDefault="001B360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RFC_NCTS_0159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56604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D736E63" w:rsidR="00FE4EC9" w:rsidRPr="001B757A" w:rsidRDefault="00AC349B" w:rsidP="00D140AB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AC349B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IM</w:t>
            </w:r>
            <w:r w:rsidR="001B757A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456131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B237012" w:rsidR="00EE7CA2" w:rsidRPr="00421ECB" w:rsidRDefault="001B757A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757A">
              <w:rPr>
                <w:rFonts w:asciiTheme="minorHAnsi" w:hAnsiTheme="minorHAnsi" w:cs="Arial"/>
                <w:sz w:val="22"/>
                <w:szCs w:val="22"/>
              </w:rPr>
              <w:t>ITSM3 OPERATIONS.SERVICE DESK L1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7E6E5646" w:rsidR="00CE056E" w:rsidRPr="003E3825" w:rsidRDefault="0083020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NCTS </w:t>
            </w:r>
            <w:r w:rsidR="005B5926"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 P5 (DDNTA-</w:t>
            </w:r>
            <w:r w:rsidR="00512D8F">
              <w:t xml:space="preserve"> </w:t>
            </w:r>
            <w:r w:rsidR="00512D8F" w:rsidRPr="00512D8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v5.14.1</w:t>
            </w:r>
            <w:r w:rsidR="001B360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="005B5926"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– CSE-v51.</w:t>
            </w:r>
            <w:r w:rsidR="00AA1C3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5B5926" w:rsidRPr="003E382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2EB52261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55D62778" w:rsidR="003643E4" w:rsidRDefault="003643E4" w:rsidP="00AC349B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463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57746342" w:rsidR="003643E4" w:rsidRPr="002337D9" w:rsidRDefault="00B7100B" w:rsidP="00B7100B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6F4E7B" w:rsidRDefault="00BE1A5F" w:rsidP="00C001F9">
      <w:pPr>
        <w:rPr>
          <w:rFonts w:asciiTheme="minorHAnsi" w:hAnsiTheme="minorHAnsi" w:cs="Arial"/>
          <w:b/>
          <w:bCs/>
          <w:sz w:val="26"/>
          <w:szCs w:val="26"/>
          <w:lang w:val="en-US"/>
        </w:rPr>
      </w:pPr>
    </w:p>
    <w:p w14:paraId="33AC3781" w14:textId="72FC0ACD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1B3603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C001F9">
        <w:tc>
          <w:tcPr>
            <w:tcW w:w="9747" w:type="dxa"/>
            <w:vAlign w:val="center"/>
          </w:tcPr>
          <w:p w14:paraId="70DA2C8C" w14:textId="0C115AF3" w:rsidR="0046158E" w:rsidRPr="00074158" w:rsidRDefault="00EC6BDA" w:rsidP="00C001F9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964C1F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NCTS-P5:</w:t>
            </w:r>
            <w:r w:rsidRPr="00A805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(</w:t>
            </w:r>
            <w:r w:rsidR="00CF641E"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DDNTA-v5.1</w:t>
            </w:r>
            <w:r w:rsidR="00CF6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4.1</w:t>
            </w:r>
            <w:r w:rsidR="00CF641E"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CF641E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</w:t>
            </w:r>
            <w:r w:rsidR="00CF641E"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</w:t>
            </w:r>
            <w:r w:rsidRPr="00A8052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): </w:t>
            </w:r>
            <w:r w:rsidR="00AC349B" w:rsidRPr="00AC349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Update </w:t>
            </w:r>
            <w:r w:rsidR="001B757A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R0910</w:t>
            </w:r>
          </w:p>
        </w:tc>
      </w:tr>
      <w:tr w:rsidR="0046158E" w:rsidRPr="00074158" w14:paraId="759A9E8B" w14:textId="77777777" w:rsidTr="00C001F9">
        <w:tc>
          <w:tcPr>
            <w:tcW w:w="9747" w:type="dxa"/>
            <w:vAlign w:val="center"/>
          </w:tcPr>
          <w:p w14:paraId="3CC13585" w14:textId="6D5598DE" w:rsidR="00B54C39" w:rsidRDefault="00F1677A" w:rsidP="002576E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>As per incident IM</w:t>
            </w:r>
            <w:r w:rsidR="001B757A">
              <w:rPr>
                <w:rFonts w:asciiTheme="minorHAnsi" w:hAnsiTheme="minorHAnsi" w:cs="Arial"/>
                <w:color w:val="0070C0"/>
                <w:sz w:val="22"/>
                <w:szCs w:val="22"/>
              </w:rPr>
              <w:t>456131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,</w:t>
            </w: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raised by </w:t>
            </w:r>
            <w:r w:rsidR="001B757A" w:rsidRPr="001B757A">
              <w:rPr>
                <w:rFonts w:asciiTheme="minorHAnsi" w:hAnsiTheme="minorHAnsi" w:cs="Arial"/>
                <w:color w:val="0070C0"/>
                <w:sz w:val="22"/>
                <w:szCs w:val="22"/>
              </w:rPr>
              <w:t>ITSM3 OPERATIONS.SERVICE DESK L1</w:t>
            </w: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>,</w:t>
            </w:r>
            <w:r w:rsidRPr="00C3224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B54C3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 request due to R0910 in case of simplified procedure </w:t>
            </w:r>
            <w:r w:rsidR="001C34B4">
              <w:rPr>
                <w:rFonts w:asciiTheme="minorHAnsi" w:hAnsiTheme="minorHAnsi" w:cs="Arial"/>
                <w:color w:val="0070C0"/>
                <w:sz w:val="22"/>
                <w:szCs w:val="22"/>
              </w:rPr>
              <w:t>has been</w:t>
            </w:r>
            <w:r w:rsidR="00B54C3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1C34B4">
              <w:rPr>
                <w:rFonts w:asciiTheme="minorHAnsi" w:hAnsiTheme="minorHAnsi" w:cs="Arial"/>
                <w:color w:val="0070C0"/>
                <w:sz w:val="22"/>
                <w:szCs w:val="22"/>
              </w:rPr>
              <w:t>raised</w:t>
            </w:r>
            <w:r w:rsidR="00B54C3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</w:t>
            </w:r>
            <w:r w:rsidR="004070DA">
              <w:rPr>
                <w:rFonts w:asciiTheme="minorHAnsi" w:hAnsiTheme="minorHAnsi" w:cs="Arial"/>
                <w:color w:val="0070C0"/>
                <w:sz w:val="22"/>
                <w:szCs w:val="22"/>
              </w:rPr>
              <w:t>More specific</w:t>
            </w:r>
            <w:r w:rsidR="001C34B4">
              <w:rPr>
                <w:rFonts w:asciiTheme="minorHAnsi" w:hAnsiTheme="minorHAnsi" w:cs="Arial"/>
                <w:color w:val="0070C0"/>
                <w:sz w:val="22"/>
                <w:szCs w:val="22"/>
              </w:rPr>
              <w:t>ally</w:t>
            </w:r>
            <w:r w:rsidR="00F46BAD" w:rsidRPr="00F46BAD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</w:t>
            </w:r>
            <w:r w:rsidR="00D66478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>b</w:t>
            </w:r>
            <w:r w:rsidR="00F46BAD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>ased on the</w:t>
            </w:r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D66478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>current</w:t>
            </w:r>
            <w:r w:rsidR="00F46BAD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 xml:space="preserve"> wording of R0910</w:t>
            </w:r>
            <w:r w:rsidR="00D66478">
              <w:rPr>
                <w:rFonts w:asciiTheme="minorHAnsi" w:hAnsiTheme="minorHAnsi" w:cs="Arial"/>
                <w:color w:val="0070C0"/>
                <w:sz w:val="22"/>
                <w:szCs w:val="22"/>
                <w:lang w:val="en-US"/>
              </w:rPr>
              <w:t xml:space="preserve">, </w:t>
            </w:r>
            <w:r w:rsidR="004070DA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case of </w:t>
            </w:r>
            <w:r w:rsid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>standard customs declaration (</w:t>
            </w:r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>/</w:t>
            </w:r>
            <w:proofErr w:type="spellStart"/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>TransitOperation</w:t>
            </w:r>
            <w:proofErr w:type="spellEnd"/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>/</w:t>
            </w:r>
            <w:proofErr w:type="spellStart"/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>additionalDeclarationType</w:t>
            </w:r>
            <w:proofErr w:type="spellEnd"/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is EQUAL to 'A'</w:t>
            </w:r>
            <w:r w:rsid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), </w:t>
            </w:r>
            <w:r w:rsidR="004070DA">
              <w:rPr>
                <w:rFonts w:asciiTheme="minorHAnsi" w:hAnsiTheme="minorHAnsi" w:cs="Arial"/>
                <w:color w:val="0070C0"/>
                <w:sz w:val="22"/>
                <w:szCs w:val="22"/>
              </w:rPr>
              <w:t>simplified procedure</w:t>
            </w:r>
            <w:r w:rsid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is not allowed. The above statement is misleading since </w:t>
            </w:r>
            <w:r w:rsidR="001C431B">
              <w:rPr>
                <w:rFonts w:asciiTheme="minorHAnsi" w:hAnsiTheme="minorHAnsi" w:cs="Arial"/>
                <w:color w:val="0070C0"/>
                <w:sz w:val="22"/>
                <w:szCs w:val="22"/>
              </w:rPr>
              <w:t>t</w:t>
            </w:r>
            <w:r w:rsidR="00D66478" w:rsidRPr="00D66478">
              <w:rPr>
                <w:rFonts w:asciiTheme="minorHAnsi" w:hAnsiTheme="minorHAnsi" w:cs="Arial"/>
                <w:color w:val="0070C0"/>
                <w:sz w:val="22"/>
                <w:szCs w:val="22"/>
              </w:rPr>
              <w:t>here is no conflict to have Simplified Procedure and Pre-Lodged Declaration.</w:t>
            </w:r>
            <w:r w:rsidR="001C431B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B54C39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As a result, R0910 </w:t>
            </w:r>
            <w:r w:rsidR="004070DA">
              <w:rPr>
                <w:rFonts w:asciiTheme="minorHAnsi" w:hAnsiTheme="minorHAnsi" w:cs="Arial"/>
                <w:color w:val="0070C0"/>
                <w:sz w:val="22"/>
                <w:szCs w:val="22"/>
              </w:rPr>
              <w:t>shall be update</w:t>
            </w:r>
            <w:r w:rsidR="009D2FA1">
              <w:rPr>
                <w:rFonts w:asciiTheme="minorHAnsi" w:hAnsiTheme="minorHAnsi" w:cs="Arial"/>
                <w:color w:val="0070C0"/>
                <w:sz w:val="22"/>
                <w:szCs w:val="22"/>
              </w:rPr>
              <w:t>d</w:t>
            </w:r>
            <w:r w:rsidR="001C431B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4CDFE6BD" w:rsidR="002576E3" w:rsidRPr="00074158" w:rsidRDefault="002576E3" w:rsidP="004070DA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2FC3B0A2" w14:textId="5C840D04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108F8B5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E490B52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AD12B20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2D94EB3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0BCD342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A2C871D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874E359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6CE69CC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B974CAC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FFCA50C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9677AA3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323A28CC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F364F0D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7D427D93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6097CC" w14:textId="77777777" w:rsidR="005A051F" w:rsidRDefault="005A051F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9A2D040" w14:textId="7210E35D" w:rsidR="003D4A7A" w:rsidRDefault="005F7EF0" w:rsidP="00D140AB">
      <w:pPr>
        <w:keepNext/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 w:rsidR="001B3603">
        <w:rPr>
          <w:rFonts w:asciiTheme="minorHAnsi" w:hAnsiTheme="minorHAnsi" w:cs="Arial"/>
          <w:b/>
          <w:bCs/>
          <w:sz w:val="28"/>
          <w:szCs w:val="28"/>
        </w:rPr>
        <w:t>Problem Statement</w:t>
      </w:r>
    </w:p>
    <w:p w14:paraId="0CEF5B4D" w14:textId="77777777" w:rsidR="001B3603" w:rsidRPr="00074158" w:rsidRDefault="001B3603" w:rsidP="00D140AB">
      <w:pPr>
        <w:keepNext/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343"/>
      </w:tblGrid>
      <w:tr w:rsidR="003D4A7A" w:rsidRPr="00074158" w14:paraId="482A54D6" w14:textId="77777777" w:rsidTr="4E292644">
        <w:trPr>
          <w:trHeight w:val="1222"/>
        </w:trPr>
        <w:tc>
          <w:tcPr>
            <w:tcW w:w="10343" w:type="dxa"/>
          </w:tcPr>
          <w:p w14:paraId="18FDC76A" w14:textId="10DAC378" w:rsidR="006840E8" w:rsidRDefault="00B042C0" w:rsidP="006840E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="002B2610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version of the </w:t>
            </w:r>
            <w:r w:rsidR="00512D8F" w:rsidRPr="00512D8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DDNTA-v5.14.1 </w:t>
            </w:r>
            <w:r w:rsidR="002576E3">
              <w:rPr>
                <w:rFonts w:asciiTheme="minorHAnsi" w:hAnsiTheme="minorHAnsi" w:cs="Arial"/>
                <w:sz w:val="22"/>
                <w:szCs w:val="22"/>
                <w:lang w:val="en-US"/>
              </w:rPr>
              <w:t>(based on CSE-v51.</w:t>
            </w:r>
            <w:r w:rsidR="006750E7" w:rsidRPr="006750E7">
              <w:rPr>
                <w:rFonts w:asciiTheme="minorHAnsi" w:hAnsiTheme="minorHAnsi" w:cs="Arial"/>
                <w:sz w:val="22"/>
                <w:szCs w:val="22"/>
                <w:lang w:val="en-US"/>
              </w:rPr>
              <w:t>60</w:t>
            </w:r>
            <w:r w:rsidR="002576E3"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  <w:r w:rsidR="002B2610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F13384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 xml:space="preserve">R0910 </w:t>
            </w:r>
            <w:r w:rsidR="002B2610">
              <w:rPr>
                <w:rFonts w:asciiTheme="minorHAnsi" w:hAnsiTheme="minorHAnsi" w:cs="Arial"/>
                <w:sz w:val="22"/>
                <w:szCs w:val="22"/>
              </w:rPr>
              <w:t>is assigned on messages</w:t>
            </w:r>
            <w:r w:rsidR="00EE14BD">
              <w:rPr>
                <w:rFonts w:asciiTheme="minorHAnsi" w:hAnsiTheme="minorHAnsi" w:cs="Arial"/>
                <w:sz w:val="22"/>
                <w:szCs w:val="22"/>
              </w:rPr>
              <w:t xml:space="preserve"> CD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001C, CD003C, CC029C, CD038C,</w:t>
            </w:r>
            <w:r w:rsidR="00EE14B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 xml:space="preserve">CD160C, CD050C, CD115C </w:t>
            </w:r>
            <w:r w:rsidR="00EE14BD">
              <w:rPr>
                <w:rFonts w:asciiTheme="minorHAnsi" w:hAnsiTheme="minorHAnsi" w:cs="Arial"/>
                <w:sz w:val="22"/>
                <w:szCs w:val="22"/>
              </w:rPr>
              <w:t>and CD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165</w:t>
            </w:r>
            <w:r w:rsidR="00EE14BD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, on the Data Item ‘</w:t>
            </w:r>
            <w:r w:rsidR="00D20E46" w:rsidRPr="00D20E46">
              <w:rPr>
                <w:rFonts w:asciiTheme="minorHAnsi" w:hAnsiTheme="minorHAnsi" w:cs="Arial"/>
                <w:sz w:val="22"/>
                <w:szCs w:val="22"/>
              </w:rPr>
              <w:t xml:space="preserve">CONTROL RESULT. Code’ 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as</w:t>
            </w:r>
            <w:r w:rsidR="00EE14BD">
              <w:rPr>
                <w:rFonts w:asciiTheme="minorHAnsi" w:hAnsiTheme="minorHAnsi" w:cs="Arial"/>
                <w:sz w:val="22"/>
                <w:szCs w:val="22"/>
              </w:rPr>
              <w:t xml:space="preserve"> presented below: </w:t>
            </w:r>
          </w:p>
          <w:p w14:paraId="494C4318" w14:textId="6344EC84" w:rsidR="00EE14BD" w:rsidRDefault="00EE14BD" w:rsidP="006840E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66327445" w14:textId="25E228FE" w:rsidR="00D20E46" w:rsidRDefault="00D20E46" w:rsidP="006840E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04B5470" wp14:editId="5EDA1229">
                  <wp:extent cx="5819140" cy="918210"/>
                  <wp:effectExtent l="152400" t="152400" r="353060" b="3581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918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08FE50D" w14:textId="458995B7" w:rsidR="00EE14BD" w:rsidRDefault="00EE14BD" w:rsidP="006840E8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161BD722" w14:textId="0B6C2F3C" w:rsidR="00A32667" w:rsidRDefault="00A32667" w:rsidP="00C001F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05CC9E4" w14:textId="6E2C03C2" w:rsidR="00EE14BD" w:rsidRDefault="00EE14BD" w:rsidP="00C001F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R0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910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is assigned on 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the Data Item ‘</w:t>
            </w:r>
            <w:r w:rsidR="00D20E46" w:rsidRPr="00D20E46">
              <w:rPr>
                <w:rFonts w:asciiTheme="minorHAnsi" w:hAnsiTheme="minorHAnsi" w:cs="Arial"/>
                <w:sz w:val="22"/>
                <w:szCs w:val="22"/>
              </w:rPr>
              <w:t>CONTROL RESULT. Code’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According to Q2 the wording of the rule presented below: </w:t>
            </w:r>
          </w:p>
          <w:p w14:paraId="234B155E" w14:textId="7726F3EA" w:rsidR="00D20E46" w:rsidRDefault="00D20E46" w:rsidP="00E32B93">
            <w:pPr>
              <w:rPr>
                <w:noProof/>
              </w:rPr>
            </w:pPr>
          </w:p>
          <w:p w14:paraId="2C685C68" w14:textId="5051FFCE" w:rsidR="00D20E46" w:rsidRDefault="00D20E46" w:rsidP="00E32B9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CF57ED" wp14:editId="6143CED7">
                  <wp:extent cx="5819140" cy="1179195"/>
                  <wp:effectExtent l="152400" t="152400" r="353060" b="3638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179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E6C3F50" w14:textId="77777777" w:rsidR="00D20E46" w:rsidRDefault="00D20E46" w:rsidP="00E32B93">
            <w:pPr>
              <w:rPr>
                <w:noProof/>
              </w:rPr>
            </w:pPr>
          </w:p>
          <w:p w14:paraId="551C70A6" w14:textId="77777777" w:rsidR="00D20E46" w:rsidRDefault="00D20E46" w:rsidP="00E32B93">
            <w:pPr>
              <w:rPr>
                <w:noProof/>
              </w:rPr>
            </w:pPr>
          </w:p>
          <w:p w14:paraId="43F1C101" w14:textId="1DE604B0" w:rsidR="00556BA1" w:rsidRDefault="00EE14BD" w:rsidP="00E32B9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D20E46">
              <w:rPr>
                <w:rFonts w:asciiTheme="minorHAnsi" w:hAnsiTheme="minorHAnsi" w:cs="Arial"/>
                <w:sz w:val="22"/>
                <w:szCs w:val="22"/>
              </w:rPr>
              <w:t>L195</w:t>
            </w:r>
            <w:r w:rsidR="00B666AA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>‘</w:t>
            </w:r>
            <w:proofErr w:type="spellStart"/>
            <w:r w:rsidR="001E671D">
              <w:rPr>
                <w:rFonts w:ascii="Calibri" w:hAnsi="Calibri" w:cs="Calibri"/>
                <w:color w:val="000000"/>
                <w:sz w:val="22"/>
                <w:szCs w:val="22"/>
              </w:rPr>
              <w:t>ControlResultCodeDepartureSimplifiedExcluded</w:t>
            </w:r>
            <w:proofErr w:type="spellEnd"/>
            <w:r w:rsidR="00D3026F">
              <w:rPr>
                <w:rFonts w:ascii="Calibri" w:hAnsi="Calibri" w:cs="Calibri"/>
                <w:color w:val="000000"/>
                <w:sz w:val="22"/>
                <w:szCs w:val="22"/>
              </w:rPr>
              <w:t>’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1E671D">
              <w:rPr>
                <w:rFonts w:asciiTheme="minorHAnsi" w:hAnsiTheme="minorHAnsi" w:cs="Arial"/>
                <w:sz w:val="22"/>
                <w:szCs w:val="22"/>
              </w:rPr>
              <w:t>has the below</w:t>
            </w:r>
            <w:r w:rsidR="004C179C">
              <w:rPr>
                <w:rFonts w:asciiTheme="minorHAnsi" w:hAnsiTheme="minorHAnsi" w:cs="Arial"/>
                <w:sz w:val="22"/>
                <w:szCs w:val="22"/>
              </w:rPr>
              <w:t xml:space="preserve"> values</w:t>
            </w:r>
            <w:r w:rsidR="001E671D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14:paraId="5B6C2F58" w14:textId="6061354F" w:rsidR="00CE598D" w:rsidRDefault="00CE598D" w:rsidP="00E32B9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W w:w="965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7"/>
              <w:gridCol w:w="3321"/>
              <w:gridCol w:w="3321"/>
            </w:tblGrid>
            <w:tr w:rsidR="00EB6913" w14:paraId="603B0169" w14:textId="77777777" w:rsidTr="00EB6913">
              <w:tc>
                <w:tcPr>
                  <w:tcW w:w="3017" w:type="dxa"/>
                  <w:tcBorders>
                    <w:top w:val="single" w:sz="6" w:space="0" w:color="4F81BD"/>
                    <w:left w:val="single" w:sz="6" w:space="0" w:color="4F81BD"/>
                    <w:bottom w:val="single" w:sz="6" w:space="0" w:color="4F81BD"/>
                    <w:right w:val="nil"/>
                  </w:tcBorders>
                  <w:shd w:val="clear" w:color="auto" w:fill="4F81BD"/>
                  <w:hideMark/>
                </w:tcPr>
                <w:p w14:paraId="73D350D9" w14:textId="77777777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  <w:t>Entry Name</w:t>
                  </w:r>
                  <w:r>
                    <w:rPr>
                      <w:rStyle w:val="eop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321" w:type="dxa"/>
                  <w:tcBorders>
                    <w:top w:val="single" w:sz="6" w:space="0" w:color="4F81BD"/>
                    <w:left w:val="nil"/>
                    <w:bottom w:val="single" w:sz="6" w:space="0" w:color="4F81BD"/>
                    <w:right w:val="nil"/>
                  </w:tcBorders>
                  <w:shd w:val="clear" w:color="auto" w:fill="4F81BD"/>
                </w:tcPr>
                <w:p w14:paraId="4669A952" w14:textId="79EDF511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  <w:t>Entry Name</w:t>
                  </w:r>
                  <w:r>
                    <w:rPr>
                      <w:rStyle w:val="eop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321" w:type="dxa"/>
                  <w:tcBorders>
                    <w:top w:val="single" w:sz="6" w:space="0" w:color="4F81BD"/>
                    <w:left w:val="nil"/>
                    <w:bottom w:val="single" w:sz="6" w:space="0" w:color="4F81BD"/>
                    <w:right w:val="nil"/>
                  </w:tcBorders>
                  <w:shd w:val="clear" w:color="auto" w:fill="4F81BD"/>
                </w:tcPr>
                <w:p w14:paraId="626B14D5" w14:textId="4F8F457D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</w:pPr>
                </w:p>
              </w:tc>
            </w:tr>
            <w:tr w:rsidR="00EB6913" w14:paraId="0AD6E682" w14:textId="77777777" w:rsidTr="00EB6913">
              <w:tc>
                <w:tcPr>
                  <w:tcW w:w="3017" w:type="dxa"/>
                  <w:tcBorders>
                    <w:top w:val="nil"/>
                    <w:left w:val="single" w:sz="6" w:space="0" w:color="95B3D7"/>
                    <w:bottom w:val="single" w:sz="6" w:space="0" w:color="95B3D7"/>
                    <w:right w:val="single" w:sz="6" w:space="0" w:color="95B3D7"/>
                  </w:tcBorders>
                  <w:shd w:val="clear" w:color="auto" w:fill="DBE5F1"/>
                  <w:hideMark/>
                </w:tcPr>
                <w:p w14:paraId="52B200D8" w14:textId="41999646" w:rsidR="00EB6913" w:rsidRPr="00B666AA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EB691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A1</w:t>
                  </w:r>
                </w:p>
              </w:tc>
              <w:tc>
                <w:tcPr>
                  <w:tcW w:w="3321" w:type="dxa"/>
                  <w:tcBorders>
                    <w:top w:val="nil"/>
                    <w:left w:val="nil"/>
                    <w:bottom w:val="single" w:sz="6" w:space="0" w:color="95B3D7"/>
                    <w:right w:val="nil"/>
                  </w:tcBorders>
                  <w:shd w:val="clear" w:color="auto" w:fill="DBE5F1"/>
                </w:tcPr>
                <w:p w14:paraId="38DF86A3" w14:textId="77777777" w:rsidR="00EB6913" w:rsidRDefault="00EB6913" w:rsidP="00EB691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Satisfactory</w:t>
                  </w:r>
                </w:p>
                <w:p w14:paraId="118C4AA5" w14:textId="77777777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321" w:type="dxa"/>
                  <w:tcBorders>
                    <w:top w:val="nil"/>
                    <w:left w:val="nil"/>
                    <w:bottom w:val="single" w:sz="6" w:space="0" w:color="95B3D7"/>
                    <w:right w:val="nil"/>
                  </w:tcBorders>
                  <w:shd w:val="clear" w:color="auto" w:fill="DBE5F1"/>
                </w:tcPr>
                <w:p w14:paraId="63C02939" w14:textId="5E91919E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B6913" w14:paraId="0061E99F" w14:textId="77777777" w:rsidTr="00EB6913">
              <w:tc>
                <w:tcPr>
                  <w:tcW w:w="3017" w:type="dxa"/>
                  <w:tcBorders>
                    <w:top w:val="nil"/>
                    <w:left w:val="single" w:sz="6" w:space="0" w:color="95B3D7"/>
                    <w:bottom w:val="single" w:sz="6" w:space="0" w:color="95B3D7"/>
                    <w:right w:val="single" w:sz="6" w:space="0" w:color="95B3D7"/>
                  </w:tcBorders>
                  <w:shd w:val="clear" w:color="auto" w:fill="auto"/>
                  <w:hideMark/>
                </w:tcPr>
                <w:p w14:paraId="6AF25DAC" w14:textId="387A4D9E" w:rsidR="00EB6913" w:rsidRPr="00B666AA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A2</w:t>
                  </w:r>
                </w:p>
              </w:tc>
              <w:tc>
                <w:tcPr>
                  <w:tcW w:w="3321" w:type="dxa"/>
                  <w:tcBorders>
                    <w:top w:val="nil"/>
                    <w:left w:val="nil"/>
                    <w:bottom w:val="single" w:sz="6" w:space="0" w:color="95B3D7"/>
                    <w:right w:val="nil"/>
                  </w:tcBorders>
                </w:tcPr>
                <w:p w14:paraId="723CDF9F" w14:textId="77777777" w:rsidR="00EB6913" w:rsidRDefault="00EB6913" w:rsidP="00EB691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Considered satisfactory</w:t>
                  </w:r>
                </w:p>
                <w:p w14:paraId="163B4714" w14:textId="77777777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321" w:type="dxa"/>
                  <w:tcBorders>
                    <w:top w:val="nil"/>
                    <w:left w:val="nil"/>
                    <w:bottom w:val="single" w:sz="6" w:space="0" w:color="95B3D7"/>
                    <w:right w:val="nil"/>
                  </w:tcBorders>
                </w:tcPr>
                <w:p w14:paraId="6984C7C2" w14:textId="4E18532A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C46F896" w14:textId="77777777" w:rsidR="00CE598D" w:rsidRDefault="00CE598D" w:rsidP="00E32B9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3EE8DE60" w14:textId="2D213409" w:rsidR="001E671D" w:rsidRPr="001E671D" w:rsidRDefault="001E671D" w:rsidP="001E67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CL196 – 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>‘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ControlResultCodeDeparture</w:t>
            </w:r>
            <w:proofErr w:type="spellEnd"/>
            <w:r w:rsidR="00D3026F">
              <w:rPr>
                <w:rFonts w:ascii="Calibri" w:hAnsi="Calibri" w:cs="Calibri"/>
                <w:color w:val="000000"/>
                <w:sz w:val="22"/>
                <w:szCs w:val="22"/>
              </w:rPr>
              <w:t>’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is assigned on the Data Item ‘</w:t>
            </w:r>
            <w:r w:rsidRPr="00D20E46">
              <w:rPr>
                <w:rFonts w:asciiTheme="minorHAnsi" w:hAnsiTheme="minorHAnsi" w:cs="Arial"/>
                <w:sz w:val="22"/>
                <w:szCs w:val="22"/>
              </w:rPr>
              <w:t>CONTROL RESULT. Code’</w:t>
            </w:r>
            <w:r>
              <w:rPr>
                <w:rFonts w:asciiTheme="minorHAnsi" w:hAnsiTheme="minorHAnsi" w:cs="Arial"/>
                <w:sz w:val="22"/>
                <w:szCs w:val="22"/>
              </w:rPr>
              <w:t>. The values of the code list presented below:</w:t>
            </w:r>
          </w:p>
          <w:p w14:paraId="06A7CEC9" w14:textId="77777777" w:rsidR="001E671D" w:rsidRDefault="001E671D" w:rsidP="001E67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W w:w="9795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01"/>
              <w:gridCol w:w="5494"/>
            </w:tblGrid>
            <w:tr w:rsidR="001E671D" w14:paraId="241D4B51" w14:textId="77777777" w:rsidTr="00500C51">
              <w:trPr>
                <w:jc w:val="center"/>
              </w:trPr>
              <w:tc>
                <w:tcPr>
                  <w:tcW w:w="4301" w:type="dxa"/>
                  <w:tcBorders>
                    <w:top w:val="single" w:sz="6" w:space="0" w:color="4F81BD" w:themeColor="accent1"/>
                    <w:left w:val="single" w:sz="6" w:space="0" w:color="4F81BD" w:themeColor="accent1"/>
                    <w:bottom w:val="single" w:sz="6" w:space="0" w:color="4F81BD" w:themeColor="accent1"/>
                    <w:right w:val="nil"/>
                  </w:tcBorders>
                  <w:shd w:val="clear" w:color="auto" w:fill="4F81BD" w:themeFill="accent1"/>
                  <w:hideMark/>
                </w:tcPr>
                <w:p w14:paraId="6EB4BA8D" w14:textId="77777777" w:rsidR="001E671D" w:rsidRDefault="001E671D" w:rsidP="001E671D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  <w:t>Entry Name</w:t>
                  </w:r>
                  <w:r>
                    <w:rPr>
                      <w:rStyle w:val="eop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494" w:type="dxa"/>
                  <w:tcBorders>
                    <w:top w:val="single" w:sz="6" w:space="0" w:color="4F81BD" w:themeColor="accent1"/>
                    <w:left w:val="nil"/>
                    <w:bottom w:val="single" w:sz="6" w:space="0" w:color="4F81BD" w:themeColor="accent1"/>
                    <w:right w:val="single" w:sz="6" w:space="0" w:color="4F81BD" w:themeColor="accent1"/>
                  </w:tcBorders>
                  <w:shd w:val="clear" w:color="auto" w:fill="4F81BD" w:themeFill="accent1"/>
                  <w:hideMark/>
                </w:tcPr>
                <w:p w14:paraId="2665A2A5" w14:textId="77777777" w:rsidR="001E671D" w:rsidRDefault="001E671D" w:rsidP="001E671D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  <w:t>Entry Description </w:t>
                  </w:r>
                  <w:r>
                    <w:rPr>
                      <w:rStyle w:val="eop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 </w:t>
                  </w:r>
                </w:p>
              </w:tc>
            </w:tr>
            <w:tr w:rsidR="00EB6913" w14:paraId="6783693D" w14:textId="77777777" w:rsidTr="00500C51">
              <w:trPr>
                <w:jc w:val="center"/>
              </w:trPr>
              <w:tc>
                <w:tcPr>
                  <w:tcW w:w="4301" w:type="dxa"/>
                  <w:tcBorders>
                    <w:top w:val="nil"/>
                    <w:left w:val="single" w:sz="6" w:space="0" w:color="95B3D7" w:themeColor="accent1" w:themeTint="99"/>
                    <w:bottom w:val="single" w:sz="6" w:space="0" w:color="95B3D7" w:themeColor="accent1" w:themeTint="99"/>
                    <w:right w:val="single" w:sz="6" w:space="0" w:color="95B3D7" w:themeColor="accent1" w:themeTint="99"/>
                  </w:tcBorders>
                  <w:shd w:val="clear" w:color="auto" w:fill="DBE5F1" w:themeFill="accent1" w:themeFillTint="33"/>
                  <w:hideMark/>
                </w:tcPr>
                <w:p w14:paraId="14AE2134" w14:textId="131BD402" w:rsidR="00EB6913" w:rsidRPr="00B666AA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EB6913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A1</w:t>
                  </w:r>
                </w:p>
              </w:tc>
              <w:tc>
                <w:tcPr>
                  <w:tcW w:w="5494" w:type="dxa"/>
                  <w:tcBorders>
                    <w:top w:val="nil"/>
                    <w:left w:val="nil"/>
                    <w:bottom w:val="single" w:sz="6" w:space="0" w:color="95B3D7" w:themeColor="accent1" w:themeTint="99"/>
                    <w:right w:val="single" w:sz="6" w:space="0" w:color="95B3D7" w:themeColor="accent1" w:themeTint="99"/>
                  </w:tcBorders>
                  <w:shd w:val="clear" w:color="auto" w:fill="DBE5F1" w:themeFill="accent1" w:themeFillTint="33"/>
                  <w:hideMark/>
                </w:tcPr>
                <w:p w14:paraId="186CAB10" w14:textId="77777777" w:rsidR="00EB6913" w:rsidRDefault="00EB6913" w:rsidP="00EB691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Satisfactory</w:t>
                  </w:r>
                </w:p>
                <w:p w14:paraId="773C833B" w14:textId="2DA119EF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EB6913" w14:paraId="2E8B409F" w14:textId="77777777" w:rsidTr="00500C51">
              <w:trPr>
                <w:jc w:val="center"/>
              </w:trPr>
              <w:tc>
                <w:tcPr>
                  <w:tcW w:w="4301" w:type="dxa"/>
                  <w:tcBorders>
                    <w:top w:val="nil"/>
                    <w:left w:val="single" w:sz="6" w:space="0" w:color="95B3D7" w:themeColor="accent1" w:themeTint="99"/>
                    <w:bottom w:val="single" w:sz="6" w:space="0" w:color="95B3D7" w:themeColor="accent1" w:themeTint="99"/>
                    <w:right w:val="single" w:sz="6" w:space="0" w:color="95B3D7" w:themeColor="accent1" w:themeTint="99"/>
                  </w:tcBorders>
                  <w:shd w:val="clear" w:color="auto" w:fill="auto"/>
                </w:tcPr>
                <w:p w14:paraId="0B2D9565" w14:textId="1BEB31FF" w:rsidR="00EB6913" w:rsidRDefault="00EB6913" w:rsidP="00EB691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A2</w:t>
                  </w:r>
                </w:p>
              </w:tc>
              <w:tc>
                <w:tcPr>
                  <w:tcW w:w="5494" w:type="dxa"/>
                  <w:tcBorders>
                    <w:top w:val="nil"/>
                    <w:left w:val="nil"/>
                    <w:bottom w:val="single" w:sz="6" w:space="0" w:color="95B3D7" w:themeColor="accent1" w:themeTint="99"/>
                    <w:right w:val="single" w:sz="6" w:space="0" w:color="95B3D7" w:themeColor="accent1" w:themeTint="99"/>
                  </w:tcBorders>
                  <w:shd w:val="clear" w:color="auto" w:fill="auto"/>
                </w:tcPr>
                <w:p w14:paraId="2C2DA229" w14:textId="77777777" w:rsidR="00EB6913" w:rsidRDefault="00EB6913" w:rsidP="00EB691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Considered satisfactory</w:t>
                  </w:r>
                </w:p>
                <w:p w14:paraId="6EC8F5D1" w14:textId="28E9CB6B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E671D" w14:paraId="1814F469" w14:textId="77777777" w:rsidTr="00500C51">
              <w:trPr>
                <w:trHeight w:val="300"/>
                <w:jc w:val="center"/>
              </w:trPr>
              <w:tc>
                <w:tcPr>
                  <w:tcW w:w="4301" w:type="dxa"/>
                  <w:tcBorders>
                    <w:top w:val="nil"/>
                    <w:left w:val="single" w:sz="6" w:space="0" w:color="95B3D7" w:themeColor="accent1" w:themeTint="99"/>
                    <w:bottom w:val="nil"/>
                    <w:right w:val="single" w:sz="6" w:space="0" w:color="95B3D7" w:themeColor="accent1" w:themeTint="99"/>
                  </w:tcBorders>
                  <w:shd w:val="clear" w:color="auto" w:fill="DBE5F1" w:themeFill="accent1" w:themeFillTint="33"/>
                </w:tcPr>
                <w:p w14:paraId="5B86D999" w14:textId="77777777" w:rsidR="001E671D" w:rsidRPr="00B666AA" w:rsidRDefault="001E671D" w:rsidP="001E671D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5494" w:type="dxa"/>
                  <w:tcBorders>
                    <w:top w:val="nil"/>
                    <w:left w:val="nil"/>
                    <w:bottom w:val="nil"/>
                    <w:right w:val="single" w:sz="6" w:space="0" w:color="95B3D7" w:themeColor="accent1" w:themeTint="99"/>
                  </w:tcBorders>
                  <w:shd w:val="clear" w:color="auto" w:fill="DBE5F1" w:themeFill="accent1" w:themeFillTint="33"/>
                </w:tcPr>
                <w:p w14:paraId="5F569813" w14:textId="6119504F" w:rsidR="001E671D" w:rsidRDefault="001E671D" w:rsidP="001E671D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54C39" w14:paraId="755A8F64" w14:textId="77777777" w:rsidTr="00500C51">
              <w:trPr>
                <w:trHeight w:val="234"/>
                <w:jc w:val="center"/>
              </w:trPr>
              <w:tc>
                <w:tcPr>
                  <w:tcW w:w="4301" w:type="dxa"/>
                  <w:tcBorders>
                    <w:top w:val="nil"/>
                    <w:left w:val="single" w:sz="6" w:space="0" w:color="95B3D7" w:themeColor="accent1" w:themeTint="99"/>
                    <w:bottom w:val="nil"/>
                    <w:right w:val="single" w:sz="6" w:space="0" w:color="95B3D7" w:themeColor="accent1" w:themeTint="99"/>
                  </w:tcBorders>
                  <w:shd w:val="clear" w:color="auto" w:fill="DBE5F1" w:themeFill="accent1" w:themeFillTint="33"/>
                </w:tcPr>
                <w:p w14:paraId="77904885" w14:textId="572D7A5E" w:rsidR="00B54C39" w:rsidRDefault="00EB6913" w:rsidP="00B54C39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A3</w:t>
                  </w:r>
                </w:p>
              </w:tc>
              <w:tc>
                <w:tcPr>
                  <w:tcW w:w="5494" w:type="dxa"/>
                  <w:tcBorders>
                    <w:top w:val="nil"/>
                    <w:left w:val="nil"/>
                    <w:bottom w:val="nil"/>
                    <w:right w:val="single" w:sz="6" w:space="0" w:color="95B3D7" w:themeColor="accent1" w:themeTint="99"/>
                  </w:tcBorders>
                  <w:shd w:val="clear" w:color="auto" w:fill="DBE5F1" w:themeFill="accent1" w:themeFillTint="33"/>
                </w:tcPr>
                <w:p w14:paraId="753B0C7A" w14:textId="40A9C984" w:rsidR="00B54C39" w:rsidRDefault="00EB6913" w:rsidP="00B54C39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Simplified procedure</w:t>
                  </w:r>
                </w:p>
              </w:tc>
            </w:tr>
          </w:tbl>
          <w:p w14:paraId="76F11C02" w14:textId="77777777" w:rsidR="001E671D" w:rsidRDefault="001E671D" w:rsidP="001E67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D6DBACE" w14:textId="77777777" w:rsidR="00C64B61" w:rsidRDefault="00C64B61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5B89B3C" w14:textId="06B0B704" w:rsidR="00C64B61" w:rsidRDefault="00C64B61" w:rsidP="00182703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The business explanation of values A1, A2, A3 </w:t>
            </w:r>
            <w:r w:rsidR="0040711F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is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presented below:</w:t>
            </w:r>
          </w:p>
          <w:p w14:paraId="5C5F100C" w14:textId="77777777" w:rsidR="00C64B61" w:rsidRDefault="00C64B61" w:rsidP="00C64B61">
            <w:pPr>
              <w:rPr>
                <w:color w:val="1F497D"/>
              </w:rPr>
            </w:pPr>
          </w:p>
          <w:tbl>
            <w:tblPr>
              <w:tblW w:w="935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3"/>
              <w:gridCol w:w="7447"/>
            </w:tblGrid>
            <w:tr w:rsidR="00C64B61" w:rsidRPr="00C64B61" w14:paraId="672639BC" w14:textId="77777777" w:rsidTr="00500C51">
              <w:trPr>
                <w:jc w:val="center"/>
              </w:trPr>
              <w:tc>
                <w:tcPr>
                  <w:tcW w:w="19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F7814A" w14:textId="77777777" w:rsidR="00C64B61" w:rsidRPr="00C64B61" w:rsidRDefault="00C64B61" w:rsidP="00C64B61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‘A1’(Satisfactory)</w:t>
                  </w:r>
                </w:p>
              </w:tc>
              <w:tc>
                <w:tcPr>
                  <w:tcW w:w="74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27C10F" w14:textId="77777777" w:rsidR="00C64B61" w:rsidRPr="00C64B61" w:rsidRDefault="00C64B61" w:rsidP="00C64B6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 case of Simplified or Normal Procedure, where the goods are released for transit after their documentary and/or physical control (full or partial) and no irregularities were detected</w:t>
                  </w:r>
                </w:p>
              </w:tc>
            </w:tr>
            <w:tr w:rsidR="00C64B61" w:rsidRPr="00C64B61" w14:paraId="030A8460" w14:textId="77777777" w:rsidTr="00500C51">
              <w:trPr>
                <w:jc w:val="center"/>
              </w:trPr>
              <w:tc>
                <w:tcPr>
                  <w:tcW w:w="19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81C09B" w14:textId="77777777" w:rsidR="00C64B61" w:rsidRPr="00C64B61" w:rsidRDefault="00C64B61" w:rsidP="00C64B6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‘A2’ (Considered satisfactory)</w:t>
                  </w:r>
                </w:p>
              </w:tc>
              <w:tc>
                <w:tcPr>
                  <w:tcW w:w="74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C6D5F2" w14:textId="7EDF06BE" w:rsidR="00C64B61" w:rsidRPr="00C64B61" w:rsidRDefault="00C64B61" w:rsidP="00C64B61">
                  <w:pPr>
                    <w:rPr>
                      <w:rFonts w:asciiTheme="minorHAnsi" w:hAnsiTheme="minorHAnsi" w:cstheme="minorHAnsi"/>
                      <w:strike/>
                      <w:color w:val="1F497D"/>
                      <w:sz w:val="22"/>
                      <w:szCs w:val="22"/>
                    </w:rPr>
                  </w:pP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 case of Simplified or Normal Procedure, where the goods are released for transit without any control</w:t>
                  </w:r>
                </w:p>
              </w:tc>
            </w:tr>
            <w:tr w:rsidR="00C64B61" w:rsidRPr="00C64B61" w14:paraId="14D71395" w14:textId="77777777" w:rsidTr="00500C51">
              <w:trPr>
                <w:jc w:val="center"/>
              </w:trPr>
              <w:tc>
                <w:tcPr>
                  <w:tcW w:w="190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851A16" w14:textId="77777777" w:rsidR="00C64B61" w:rsidRPr="00C64B61" w:rsidRDefault="00C64B61" w:rsidP="00C64B6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‘A3’ (Simplified procedure)</w:t>
                  </w:r>
                </w:p>
              </w:tc>
              <w:tc>
                <w:tcPr>
                  <w:tcW w:w="74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BE5F1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469537" w14:textId="76725184" w:rsidR="00C64B61" w:rsidRPr="00C64B61" w:rsidRDefault="00C64B61" w:rsidP="00C64B6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In case of Simplified Procedure only, where the goods are released for transit by </w:t>
                  </w:r>
                  <w:r w:rsidRPr="00C64B6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an authorized consignor</w:t>
                  </w:r>
                  <w:r w:rsidRPr="00C64B6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. No documentary or physical control executed by </w:t>
                  </w:r>
                  <w:r w:rsidRPr="00C64B6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Customs Office of Departure </w:t>
                  </w:r>
                </w:p>
              </w:tc>
            </w:tr>
          </w:tbl>
          <w:p w14:paraId="1A17023D" w14:textId="77777777" w:rsidR="00C64B61" w:rsidRDefault="00C64B61" w:rsidP="00C64B61">
            <w:pPr>
              <w:rPr>
                <w:rFonts w:ascii="Calibri" w:eastAsiaTheme="minorHAnsi" w:hAnsi="Calibri" w:cs="Calibri"/>
                <w:color w:val="1F497D"/>
                <w:sz w:val="22"/>
                <w:szCs w:val="22"/>
                <w:lang w:val="en-IE"/>
              </w:rPr>
            </w:pPr>
          </w:p>
          <w:p w14:paraId="439BC648" w14:textId="664E24B4" w:rsidR="009D2FA1" w:rsidRDefault="009D2FA1" w:rsidP="009D2FA1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G0126 is assigned on the Data Item ‘</w:t>
            </w:r>
            <w:r w:rsidRPr="00D20E46">
              <w:rPr>
                <w:rFonts w:asciiTheme="minorHAnsi" w:hAnsiTheme="minorHAnsi" w:cs="Arial"/>
                <w:sz w:val="22"/>
                <w:szCs w:val="22"/>
              </w:rPr>
              <w:t>CONTROL RESULT. Code’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. According to Q2 the wording of the guideline presented below: </w:t>
            </w:r>
          </w:p>
          <w:p w14:paraId="5EE2EAF9" w14:textId="425D4DA4" w:rsidR="009D2FA1" w:rsidRDefault="009D2FA1" w:rsidP="009D2FA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07857BC" w14:textId="50207A9B" w:rsidR="009D2FA1" w:rsidRDefault="009D2FA1" w:rsidP="009D2FA1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90C633B" wp14:editId="651A3CD5">
                  <wp:extent cx="5819140" cy="779780"/>
                  <wp:effectExtent l="152400" t="152400" r="353060" b="3632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779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21AC051" w14:textId="51167454" w:rsidR="009D2FA1" w:rsidRDefault="00EB6913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Simplified procedure 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 xml:space="preserve">is the case </w:t>
            </w:r>
            <w:r w:rsidRPr="00EB6913">
              <w:rPr>
                <w:rFonts w:asciiTheme="minorHAnsi" w:hAnsiTheme="minorHAnsi" w:cs="Arial"/>
                <w:sz w:val="22"/>
                <w:szCs w:val="22"/>
              </w:rPr>
              <w:t xml:space="preserve">when a transit declaration is submitted </w:t>
            </w:r>
            <w:r w:rsidR="00D3026F" w:rsidRPr="00EB6913">
              <w:rPr>
                <w:rFonts w:asciiTheme="minorHAnsi" w:hAnsiTheme="minorHAnsi" w:cs="Arial"/>
                <w:sz w:val="22"/>
                <w:szCs w:val="22"/>
              </w:rPr>
              <w:t>with value ‘C521’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 xml:space="preserve"> in</w:t>
            </w:r>
            <w:r w:rsidRPr="00EB6913">
              <w:rPr>
                <w:rFonts w:asciiTheme="minorHAnsi" w:hAnsiTheme="minorHAnsi" w:cs="Arial"/>
                <w:sz w:val="22"/>
                <w:szCs w:val="22"/>
              </w:rPr>
              <w:t xml:space="preserve"> the Data Item &lt;</w:t>
            </w:r>
            <w:proofErr w:type="spellStart"/>
            <w:r w:rsidRPr="00EB6913">
              <w:rPr>
                <w:rFonts w:asciiTheme="minorHAnsi" w:hAnsiTheme="minorHAnsi" w:cs="Arial"/>
                <w:sz w:val="22"/>
                <w:szCs w:val="22"/>
              </w:rPr>
              <w:t>AUTHORISATION.Type</w:t>
            </w:r>
            <w:proofErr w:type="spellEnd"/>
            <w:r w:rsidRPr="00EB6913">
              <w:rPr>
                <w:rFonts w:asciiTheme="minorHAnsi" w:hAnsiTheme="minorHAnsi" w:cs="Arial"/>
                <w:sz w:val="22"/>
                <w:szCs w:val="22"/>
              </w:rPr>
              <w:t xml:space="preserve">&gt; 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 xml:space="preserve">of the </w:t>
            </w:r>
            <w:r w:rsidR="00D3026F" w:rsidRPr="00EB6913">
              <w:rPr>
                <w:rFonts w:asciiTheme="minorHAnsi" w:hAnsiTheme="minorHAnsi" w:cs="Arial"/>
                <w:sz w:val="22"/>
                <w:szCs w:val="22"/>
              </w:rPr>
              <w:t>‘Declaration Data’</w:t>
            </w:r>
            <w:r w:rsidR="0040711F">
              <w:rPr>
                <w:rFonts w:asciiTheme="minorHAnsi" w:hAnsiTheme="minorHAnsi" w:cs="Arial"/>
                <w:sz w:val="22"/>
                <w:szCs w:val="22"/>
              </w:rPr>
              <w:t xml:space="preserve"> in</w:t>
            </w:r>
            <w:r w:rsidR="00D3026F" w:rsidRPr="00EB691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 xml:space="preserve">CC015C. </w:t>
            </w:r>
            <w:r w:rsidR="0040711F">
              <w:rPr>
                <w:rFonts w:asciiTheme="minorHAnsi" w:hAnsiTheme="minorHAnsi" w:cs="Arial"/>
                <w:sz w:val="22"/>
                <w:szCs w:val="22"/>
              </w:rPr>
              <w:t>The value ‘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>C52</w:t>
            </w:r>
            <w:r w:rsidR="0040711F">
              <w:rPr>
                <w:rFonts w:asciiTheme="minorHAnsi" w:hAnsiTheme="minorHAnsi" w:cs="Arial"/>
                <w:sz w:val="22"/>
                <w:szCs w:val="22"/>
              </w:rPr>
              <w:t>1’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 xml:space="preserve"> means ‘</w:t>
            </w:r>
            <w:r w:rsidR="00D3026F" w:rsidRPr="00D3026F">
              <w:rPr>
                <w:rFonts w:asciiTheme="minorHAnsi" w:hAnsiTheme="minorHAnsi" w:cs="Arial"/>
                <w:sz w:val="22"/>
                <w:szCs w:val="22"/>
              </w:rPr>
              <w:t>ACR - Authorisation for the status of authorised consignor for Union transit</w:t>
            </w:r>
            <w:r w:rsidR="00D3026F">
              <w:rPr>
                <w:rFonts w:asciiTheme="minorHAnsi" w:hAnsiTheme="minorHAnsi" w:cs="Arial"/>
                <w:sz w:val="22"/>
                <w:szCs w:val="22"/>
              </w:rPr>
              <w:t xml:space="preserve">’. </w:t>
            </w:r>
          </w:p>
          <w:p w14:paraId="4F9115E7" w14:textId="77777777" w:rsidR="00EB6913" w:rsidRDefault="00EB6913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4F0A5F3" w14:textId="77777777" w:rsidR="0040711F" w:rsidRDefault="00182703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20E46">
              <w:rPr>
                <w:rFonts w:asciiTheme="minorHAnsi" w:hAnsiTheme="minorHAnsi" w:cs="Arial"/>
                <w:sz w:val="22"/>
                <w:szCs w:val="22"/>
              </w:rPr>
              <w:t>According to the wording of R0910 in case the Data Item ‘Additional Declaration Type’ is equal to ‘A’, the ‘Control Result. Code’ should be included in CL195.</w:t>
            </w:r>
            <w:r w:rsidR="00B54C3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11811532" w14:textId="77777777" w:rsidR="0040711F" w:rsidRDefault="00B54C39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This approach is incorrect</w:t>
            </w:r>
            <w:r w:rsidR="00514EF1">
              <w:rPr>
                <w:rFonts w:asciiTheme="minorHAnsi" w:hAnsiTheme="minorHAnsi" w:cs="Arial"/>
                <w:sz w:val="22"/>
                <w:szCs w:val="22"/>
              </w:rPr>
              <w:t xml:space="preserve"> based on the </w:t>
            </w:r>
            <w:r w:rsidR="0040711F">
              <w:rPr>
                <w:rFonts w:asciiTheme="minorHAnsi" w:hAnsiTheme="minorHAnsi" w:cs="Arial"/>
                <w:sz w:val="22"/>
                <w:szCs w:val="22"/>
              </w:rPr>
              <w:t>other</w:t>
            </w:r>
            <w:r w:rsidR="00514EF1">
              <w:rPr>
                <w:rFonts w:asciiTheme="minorHAnsi" w:hAnsiTheme="minorHAnsi" w:cs="Arial"/>
                <w:sz w:val="22"/>
                <w:szCs w:val="22"/>
              </w:rPr>
              <w:t xml:space="preserve"> statements above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AE0349" w:rsidRPr="00AE0349">
              <w:rPr>
                <w:rFonts w:asciiTheme="minorHAnsi" w:hAnsiTheme="minorHAnsi" w:cs="Arial"/>
                <w:sz w:val="22"/>
                <w:szCs w:val="22"/>
              </w:rPr>
              <w:t xml:space="preserve">since there is no conflict to have Simplified Procedure and Pre-Lodged Declaration. </w:t>
            </w:r>
          </w:p>
          <w:p w14:paraId="64CBD357" w14:textId="2016D27E" w:rsidR="009D2FA1" w:rsidRDefault="00AE0349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E0349">
              <w:rPr>
                <w:rFonts w:asciiTheme="minorHAnsi" w:hAnsiTheme="minorHAnsi" w:cs="Arial"/>
                <w:sz w:val="22"/>
                <w:szCs w:val="22"/>
              </w:rPr>
              <w:t xml:space="preserve">The only prerequisite </w:t>
            </w:r>
            <w:r w:rsidR="00B54C39">
              <w:rPr>
                <w:rFonts w:asciiTheme="minorHAnsi" w:hAnsiTheme="minorHAnsi" w:cs="Arial"/>
                <w:sz w:val="22"/>
                <w:szCs w:val="22"/>
              </w:rPr>
              <w:t>in case of simplified procedure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is a vide authorization with &lt;</w:t>
            </w:r>
            <w:proofErr w:type="spellStart"/>
            <w:r w:rsidRPr="00AE0349">
              <w:rPr>
                <w:rFonts w:asciiTheme="minorHAnsi" w:hAnsiTheme="minorHAnsi" w:cs="Arial"/>
                <w:sz w:val="22"/>
                <w:szCs w:val="22"/>
              </w:rPr>
              <w:t>AUTHORISATION.Type</w:t>
            </w:r>
            <w:proofErr w:type="spellEnd"/>
            <w:r w:rsidRPr="00AE0349">
              <w:rPr>
                <w:rFonts w:asciiTheme="minorHAnsi" w:hAnsiTheme="minorHAnsi" w:cs="Arial"/>
                <w:sz w:val="22"/>
                <w:szCs w:val="22"/>
              </w:rPr>
              <w:t>&gt; is EQUAL to 'C521'</w:t>
            </w:r>
            <w:r w:rsidR="00514EF1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1B7CE525" w14:textId="7CD7F616" w:rsidR="009D2FA1" w:rsidRDefault="009D2FA1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408AB79" w14:textId="5DDB74E3" w:rsidR="00EB6913" w:rsidRDefault="00EB6913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values of the </w:t>
            </w:r>
            <w:r w:rsidRPr="00D20E46">
              <w:rPr>
                <w:rFonts w:asciiTheme="minorHAnsi" w:hAnsiTheme="minorHAnsi" w:cs="Arial"/>
                <w:sz w:val="22"/>
                <w:szCs w:val="22"/>
              </w:rPr>
              <w:t>‘Additional Declaration Type’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are presented in CL042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-‘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DeclarationTypeAdditional’ as follows: </w:t>
            </w:r>
          </w:p>
          <w:p w14:paraId="416DBFEC" w14:textId="2A68A48A" w:rsidR="00EB6913" w:rsidRDefault="00EB6913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tbl>
            <w:tblPr>
              <w:tblW w:w="979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01"/>
              <w:gridCol w:w="5494"/>
            </w:tblGrid>
            <w:tr w:rsidR="00EB6913" w14:paraId="368E61D7" w14:textId="77777777" w:rsidTr="0040711F">
              <w:tc>
                <w:tcPr>
                  <w:tcW w:w="4301" w:type="dxa"/>
                  <w:tcBorders>
                    <w:top w:val="single" w:sz="6" w:space="0" w:color="4F81BD"/>
                    <w:left w:val="single" w:sz="6" w:space="0" w:color="4F81BD"/>
                    <w:bottom w:val="single" w:sz="6" w:space="0" w:color="4F81BD"/>
                    <w:right w:val="nil"/>
                  </w:tcBorders>
                  <w:shd w:val="clear" w:color="auto" w:fill="4F81BD"/>
                  <w:hideMark/>
                </w:tcPr>
                <w:p w14:paraId="35B16B55" w14:textId="77777777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  <w:t>Entry Name</w:t>
                  </w:r>
                  <w:r>
                    <w:rPr>
                      <w:rStyle w:val="eop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494" w:type="dxa"/>
                  <w:tcBorders>
                    <w:top w:val="single" w:sz="6" w:space="0" w:color="4F81BD"/>
                    <w:left w:val="nil"/>
                    <w:bottom w:val="single" w:sz="6" w:space="0" w:color="4F81BD"/>
                    <w:right w:val="single" w:sz="6" w:space="0" w:color="4F81BD"/>
                  </w:tcBorders>
                  <w:shd w:val="clear" w:color="auto" w:fill="4F81BD"/>
                  <w:hideMark/>
                </w:tcPr>
                <w:p w14:paraId="726F654E" w14:textId="77777777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  <w:lang w:val="en-GB"/>
                    </w:rPr>
                    <w:t>Entry Description </w:t>
                  </w:r>
                  <w:r>
                    <w:rPr>
                      <w:rStyle w:val="eop"/>
                      <w:rFonts w:ascii="Calibri" w:hAnsi="Calibri" w:cs="Calibri"/>
                      <w:b/>
                      <w:bCs/>
                      <w:color w:val="FFFFFF"/>
                      <w:sz w:val="22"/>
                      <w:szCs w:val="22"/>
                    </w:rPr>
                    <w:t> </w:t>
                  </w:r>
                </w:p>
              </w:tc>
            </w:tr>
            <w:tr w:rsidR="00EB6913" w14:paraId="77E0241D" w14:textId="77777777" w:rsidTr="00EB6913">
              <w:tc>
                <w:tcPr>
                  <w:tcW w:w="4301" w:type="dxa"/>
                  <w:tcBorders>
                    <w:top w:val="nil"/>
                    <w:left w:val="single" w:sz="6" w:space="0" w:color="95B3D7"/>
                    <w:bottom w:val="single" w:sz="6" w:space="0" w:color="95B3D7"/>
                    <w:right w:val="single" w:sz="6" w:space="0" w:color="95B3D7"/>
                  </w:tcBorders>
                  <w:shd w:val="clear" w:color="auto" w:fill="DBE5F1"/>
                </w:tcPr>
                <w:p w14:paraId="7AB48BA8" w14:textId="04A895AC" w:rsidR="00EB6913" w:rsidRP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B691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5494" w:type="dxa"/>
                  <w:tcBorders>
                    <w:top w:val="nil"/>
                    <w:left w:val="nil"/>
                    <w:bottom w:val="single" w:sz="6" w:space="0" w:color="95B3D7"/>
                    <w:right w:val="single" w:sz="6" w:space="0" w:color="95B3D7"/>
                  </w:tcBorders>
                  <w:shd w:val="clear" w:color="auto" w:fill="DBE5F1"/>
                  <w:hideMark/>
                </w:tcPr>
                <w:p w14:paraId="7B5E9DFE" w14:textId="3CFD411B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For a standard customs declaration (under Article 162 of the Code)</w:t>
                  </w:r>
                </w:p>
              </w:tc>
            </w:tr>
            <w:tr w:rsidR="00EB6913" w14:paraId="239641BD" w14:textId="77777777" w:rsidTr="0040711F">
              <w:tc>
                <w:tcPr>
                  <w:tcW w:w="4301" w:type="dxa"/>
                  <w:tcBorders>
                    <w:top w:val="nil"/>
                    <w:left w:val="single" w:sz="6" w:space="0" w:color="95B3D7"/>
                    <w:bottom w:val="single" w:sz="6" w:space="0" w:color="95B3D7"/>
                    <w:right w:val="single" w:sz="6" w:space="0" w:color="95B3D7"/>
                  </w:tcBorders>
                  <w:shd w:val="clear" w:color="auto" w:fill="auto"/>
                </w:tcPr>
                <w:p w14:paraId="76AF3C14" w14:textId="5282A7C6" w:rsidR="00EB6913" w:rsidRDefault="00EB6913" w:rsidP="00EB6913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5494" w:type="dxa"/>
                  <w:tcBorders>
                    <w:top w:val="nil"/>
                    <w:left w:val="nil"/>
                    <w:bottom w:val="single" w:sz="6" w:space="0" w:color="95B3D7"/>
                    <w:right w:val="single" w:sz="6" w:space="0" w:color="95B3D7"/>
                  </w:tcBorders>
                  <w:shd w:val="clear" w:color="auto" w:fill="auto"/>
                </w:tcPr>
                <w:p w14:paraId="3BA0D19D" w14:textId="4A644B46" w:rsidR="00EB6913" w:rsidRDefault="00EB6913" w:rsidP="00EB691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For lodging a standard customs declaration (such as referred to under code A) in accordance with Article 171 of the Code.</w:t>
                  </w:r>
                </w:p>
              </w:tc>
            </w:tr>
          </w:tbl>
          <w:p w14:paraId="6218B402" w14:textId="5C55D728" w:rsidR="00EB6913" w:rsidRDefault="00EB6913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42C1370" w14:textId="5B0339B8" w:rsidR="00514EF1" w:rsidRDefault="00514EF1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Simplified procedure is valid for both a</w:t>
            </w:r>
            <w:r w:rsidRPr="00D20E46">
              <w:rPr>
                <w:rFonts w:asciiTheme="minorHAnsi" w:hAnsiTheme="minorHAnsi" w:cs="Arial"/>
                <w:sz w:val="22"/>
                <w:szCs w:val="22"/>
              </w:rPr>
              <w:t xml:space="preserve">dditional </w:t>
            </w:r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D20E46">
              <w:rPr>
                <w:rFonts w:asciiTheme="minorHAnsi" w:hAnsiTheme="minorHAnsi" w:cs="Arial"/>
                <w:sz w:val="22"/>
                <w:szCs w:val="22"/>
              </w:rPr>
              <w:t xml:space="preserve">eclaration </w:t>
            </w:r>
            <w:r>
              <w:rPr>
                <w:rFonts w:asciiTheme="minorHAnsi" w:hAnsiTheme="minorHAnsi" w:cs="Arial"/>
                <w:sz w:val="22"/>
                <w:szCs w:val="22"/>
              </w:rPr>
              <w:t>t</w:t>
            </w:r>
            <w:r w:rsidRPr="00D20E46">
              <w:rPr>
                <w:rFonts w:asciiTheme="minorHAnsi" w:hAnsiTheme="minorHAnsi" w:cs="Arial"/>
                <w:sz w:val="22"/>
                <w:szCs w:val="22"/>
              </w:rPr>
              <w:t>ype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s. </w:t>
            </w:r>
          </w:p>
          <w:p w14:paraId="25CA2522" w14:textId="77777777" w:rsidR="00514EF1" w:rsidRDefault="00514EF1" w:rsidP="0018270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898C77F" w14:textId="4AB2DF2F" w:rsidR="004C179C" w:rsidRPr="00E32B93" w:rsidRDefault="00B54C39" w:rsidP="001C431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As a result, the wording of R0910 should be updated</w:t>
            </w:r>
            <w:r w:rsidR="001C431B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</w:tbl>
    <w:p w14:paraId="1B057FB2" w14:textId="77777777" w:rsidR="008163F3" w:rsidRPr="00074158" w:rsidRDefault="008163F3" w:rsidP="00C001F9">
      <w:pP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</w:pPr>
    </w:p>
    <w:p w14:paraId="707B8A18" w14:textId="064E2DBD" w:rsidR="003D4A7A" w:rsidRDefault="003D4A7A" w:rsidP="00C001F9">
      <w:pPr>
        <w:rPr>
          <w:rFonts w:asciiTheme="minorHAnsi" w:hAnsiTheme="minorHAnsi" w:cs="Arial"/>
        </w:rPr>
      </w:pPr>
    </w:p>
    <w:p w14:paraId="003D625D" w14:textId="77777777" w:rsidR="001E671D" w:rsidRPr="00074158" w:rsidRDefault="001E671D" w:rsidP="00C001F9">
      <w:pPr>
        <w:rPr>
          <w:rFonts w:asciiTheme="minorHAnsi" w:hAnsiTheme="minorHAnsi" w:cs="Arial"/>
        </w:rPr>
      </w:pPr>
    </w:p>
    <w:p w14:paraId="45CE91E1" w14:textId="700F23CE" w:rsidR="009B4627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1B3603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p w14:paraId="20BF47F2" w14:textId="47D2D10F" w:rsidR="009B4627" w:rsidRPr="00074158" w:rsidRDefault="009B4627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44B748F2">
        <w:tc>
          <w:tcPr>
            <w:tcW w:w="9606" w:type="dxa"/>
          </w:tcPr>
          <w:p w14:paraId="47D9C708" w14:textId="1042EA6E" w:rsidR="004F5933" w:rsidRDefault="004F5933" w:rsidP="004F59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0103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The </w:t>
            </w:r>
            <w:r w:rsidR="0070698E" w:rsidRPr="0070698E">
              <w:rPr>
                <w:rFonts w:asciiTheme="minorHAnsi" w:hAnsiTheme="minorHAnsi" w:cs="Arial"/>
                <w:b/>
                <w:sz w:val="22"/>
                <w:szCs w:val="22"/>
              </w:rPr>
              <w:t xml:space="preserve">DDNTA-v5.14.1 </w:t>
            </w:r>
            <w:r w:rsidRPr="00964C1F">
              <w:rPr>
                <w:rFonts w:asciiTheme="minorHAnsi" w:hAnsiTheme="minorHAnsi" w:cs="Arial"/>
                <w:b/>
                <w:sz w:val="22"/>
                <w:szCs w:val="22"/>
              </w:rPr>
              <w:t xml:space="preserve">(incl. Appendix Q2) and the </w:t>
            </w:r>
            <w:r w:rsidR="0070698E" w:rsidRPr="0070698E">
              <w:rPr>
                <w:rFonts w:asciiTheme="minorHAnsi" w:hAnsiTheme="minorHAnsi" w:cs="Arial"/>
                <w:b/>
                <w:sz w:val="22"/>
                <w:szCs w:val="22"/>
              </w:rPr>
              <w:t>on CSE-v51.6.0</w:t>
            </w:r>
            <w:r w:rsidR="0070698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964C1F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964C1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EE14BD" w:rsidRPr="00D23E8C">
              <w:rPr>
                <w:rFonts w:asciiTheme="minorHAnsi" w:hAnsiTheme="minorHAnsi" w:cs="Arial"/>
                <w:sz w:val="22"/>
                <w:szCs w:val="22"/>
              </w:rPr>
              <w:t xml:space="preserve">addition of </w:t>
            </w:r>
            <w:r w:rsidR="00EE14BD"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 xml:space="preserve">text highlighted in </w:t>
            </w:r>
            <w:r w:rsidR="00CE598D"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yellow</w:t>
            </w:r>
            <w:r w:rsidR="00CE598D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CE598D" w:rsidRPr="00040103">
              <w:rPr>
                <w:rFonts w:asciiTheme="minorHAnsi" w:hAnsiTheme="minorHAnsi" w:cs="Arial"/>
                <w:sz w:val="22"/>
                <w:szCs w:val="22"/>
              </w:rPr>
              <w:t xml:space="preserve"> removal</w:t>
            </w:r>
            <w:r w:rsidRPr="00040103">
              <w:rPr>
                <w:rFonts w:asciiTheme="minorHAnsi" w:hAnsiTheme="minorHAnsi" w:cs="Arial"/>
                <w:sz w:val="22"/>
                <w:szCs w:val="22"/>
              </w:rPr>
              <w:t xml:space="preserve"> of </w:t>
            </w:r>
            <w:r w:rsidRPr="00040103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E924F73" w14:textId="77777777" w:rsidR="00ED49DD" w:rsidRPr="00C03F12" w:rsidRDefault="00ED49DD" w:rsidP="00ED49DD">
            <w:pPr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  <w:p w14:paraId="12B80948" w14:textId="05231BFB" w:rsidR="00EC3EBF" w:rsidRDefault="001B7807" w:rsidP="001B757A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R0</w:t>
            </w:r>
            <w:r w:rsidR="00DB4B2A"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>910</w:t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  <w:t xml:space="preserve"> </w:t>
            </w:r>
            <w:r w:rsidR="00ED49DD" w:rsidRPr="00C03F12">
              <w:rPr>
                <w:rFonts w:asciiTheme="minorHAnsi" w:hAnsiTheme="minorHAnsi" w:cs="Arial"/>
                <w:sz w:val="22"/>
                <w:szCs w:val="22"/>
              </w:rPr>
              <w:t xml:space="preserve">will be </w:t>
            </w:r>
            <w:r w:rsidR="001B757A">
              <w:rPr>
                <w:rFonts w:asciiTheme="minorHAnsi" w:hAnsiTheme="minorHAnsi" w:cs="Arial"/>
                <w:sz w:val="22"/>
                <w:szCs w:val="22"/>
              </w:rPr>
              <w:t>updated as follows:</w:t>
            </w:r>
          </w:p>
          <w:p w14:paraId="2EF50E94" w14:textId="0A3D058E" w:rsidR="00D20E46" w:rsidRDefault="00D20E46" w:rsidP="001B757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60673AB" w14:textId="77777777" w:rsidR="00D20E46" w:rsidRPr="00D20E46" w:rsidRDefault="00D20E46" w:rsidP="00D20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Technical Description:</w:t>
            </w:r>
          </w:p>
          <w:p w14:paraId="5090568A" w14:textId="77777777" w:rsidR="00D20E46" w:rsidRPr="00D20E46" w:rsidRDefault="00D20E46" w:rsidP="00D20E46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IF /CC013C/</w:t>
            </w:r>
            <w:proofErr w:type="spellStart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TransitOperation</w:t>
            </w:r>
            <w:proofErr w:type="spellEnd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/</w:t>
            </w:r>
            <w:proofErr w:type="spellStart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additionalDeclarationType</w:t>
            </w:r>
            <w:proofErr w:type="spellEnd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is EQUAL to 'A' OR</w:t>
            </w:r>
          </w:p>
          <w:p w14:paraId="4C54C9CB" w14:textId="77777777" w:rsidR="00D20E46" w:rsidRPr="00D20E46" w:rsidRDefault="00D20E46" w:rsidP="00D20E46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/CC015C/</w:t>
            </w:r>
            <w:proofErr w:type="spellStart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TransitOperation</w:t>
            </w:r>
            <w:proofErr w:type="spellEnd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/</w:t>
            </w:r>
            <w:proofErr w:type="spellStart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additionalDeclarationType</w:t>
            </w:r>
            <w:proofErr w:type="spellEnd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is EQUAL to 'A'</w:t>
            </w:r>
          </w:p>
          <w:p w14:paraId="6BCE4C88" w14:textId="77777777" w:rsidR="00D20E46" w:rsidRPr="00D20E46" w:rsidRDefault="00D20E46" w:rsidP="00D20E46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</w:p>
          <w:p w14:paraId="3D3BEA7B" w14:textId="3A138152" w:rsidR="66523D01" w:rsidRDefault="66523D01" w:rsidP="0B6D22F6">
            <w:pPr>
              <w:rPr>
                <w:rFonts w:asciiTheme="minorHAnsi" w:hAnsiTheme="minorHAnsi" w:cstheme="minorBidi"/>
                <w:sz w:val="22"/>
                <w:szCs w:val="22"/>
                <w:highlight w:val="yellow"/>
              </w:rPr>
            </w:pPr>
            <w:r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 xml:space="preserve">IF /CC013C/Authorisation/type is NOT EQUAL to 'C521' OR  </w:t>
            </w:r>
          </w:p>
          <w:p w14:paraId="5D58929C" w14:textId="7C09AF9F" w:rsidR="66523D01" w:rsidRDefault="66523D01" w:rsidP="0B6D22F6">
            <w:pPr>
              <w:rPr>
                <w:rFonts w:asciiTheme="minorHAnsi" w:hAnsiTheme="minorHAnsi" w:cstheme="minorBidi"/>
                <w:sz w:val="22"/>
                <w:szCs w:val="22"/>
                <w:highlight w:val="yellow"/>
              </w:rPr>
            </w:pPr>
            <w:r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/CC015C/Authorisation/type is NOT EQUAL to 'C521'</w:t>
            </w:r>
          </w:p>
          <w:p w14:paraId="0EEE9BCF" w14:textId="77777777" w:rsidR="00D20E46" w:rsidRPr="00D20E46" w:rsidRDefault="00D20E46" w:rsidP="00D20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THEN /*/</w:t>
            </w:r>
            <w:proofErr w:type="spellStart"/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ControlResult</w:t>
            </w:r>
            <w:proofErr w:type="spellEnd"/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/code is in SET CL195</w:t>
            </w:r>
          </w:p>
          <w:p w14:paraId="72DC05CD" w14:textId="77777777" w:rsidR="00D20E46" w:rsidRPr="00D20E46" w:rsidRDefault="00D20E46" w:rsidP="00D20E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D76CC0" w14:textId="77777777" w:rsidR="00D20E46" w:rsidRPr="00D20E46" w:rsidRDefault="00D20E46" w:rsidP="00D20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Functional Description:</w:t>
            </w:r>
          </w:p>
          <w:p w14:paraId="4C73F584" w14:textId="77777777" w:rsidR="00D20E46" w:rsidRPr="00D20E46" w:rsidRDefault="00D20E46" w:rsidP="00D20E46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IF &lt;CC013C-TRANSIT </w:t>
            </w:r>
            <w:proofErr w:type="spellStart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OPERATION.Additional</w:t>
            </w:r>
            <w:proofErr w:type="spellEnd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declaration type&gt; is EQUAL to 'A' OR &lt;CC015CTRANSIT</w:t>
            </w:r>
          </w:p>
          <w:p w14:paraId="179E94DC" w14:textId="63314E03" w:rsidR="00D20E46" w:rsidRDefault="00D20E46" w:rsidP="00D20E46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proofErr w:type="spellStart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OPERATION.Additional</w:t>
            </w:r>
            <w:proofErr w:type="spellEnd"/>
            <w:r w:rsidRPr="00D20E46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declaration type&gt; is EQUAL to 'A'</w:t>
            </w:r>
          </w:p>
          <w:p w14:paraId="758AA4B9" w14:textId="77777777" w:rsidR="00D20E46" w:rsidRPr="00D20E46" w:rsidRDefault="00D20E46" w:rsidP="00D20E46">
            <w:pP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</w:p>
          <w:p w14:paraId="288462A9" w14:textId="3CE0CDD9" w:rsidR="00D20E46" w:rsidRDefault="00D20E46" w:rsidP="0B6D22F6">
            <w:pPr>
              <w:rPr>
                <w:rFonts w:asciiTheme="minorHAnsi" w:hAnsiTheme="minorHAnsi" w:cstheme="minorBidi"/>
                <w:highlight w:val="yellow"/>
              </w:rPr>
            </w:pPr>
            <w:r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IF &lt;</w:t>
            </w:r>
            <w:r w:rsidR="7901CE0B"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 xml:space="preserve">CC013C - </w:t>
            </w:r>
            <w:proofErr w:type="spellStart"/>
            <w:r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AUTHORISATION.Type</w:t>
            </w:r>
            <w:proofErr w:type="spellEnd"/>
            <w:r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&gt; is NOT EQUAL to 'C521'</w:t>
            </w:r>
            <w:r w:rsidR="118964B3"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 xml:space="preserve"> OR</w:t>
            </w:r>
            <w:r w:rsidR="383D0181"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 xml:space="preserve"> &lt;CC015C - </w:t>
            </w:r>
            <w:proofErr w:type="spellStart"/>
            <w:r w:rsidR="383D0181"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AUTHORISATION.Type</w:t>
            </w:r>
            <w:proofErr w:type="spellEnd"/>
            <w:r w:rsidR="383D0181" w:rsidRPr="0B6D22F6">
              <w:rPr>
                <w:rFonts w:asciiTheme="minorHAnsi" w:hAnsiTheme="minorHAnsi" w:cstheme="minorBidi"/>
                <w:sz w:val="22"/>
                <w:szCs w:val="22"/>
                <w:highlight w:val="yellow"/>
              </w:rPr>
              <w:t>&gt; is NOT EQUAL to 'C521'</w:t>
            </w:r>
          </w:p>
          <w:p w14:paraId="4CDE4D99" w14:textId="77777777" w:rsidR="00D20E46" w:rsidRPr="00D20E46" w:rsidRDefault="00D20E46" w:rsidP="00D20E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0E46">
              <w:rPr>
                <w:rFonts w:asciiTheme="minorHAnsi" w:hAnsiTheme="minorHAnsi" w:cstheme="minorHAnsi"/>
                <w:sz w:val="22"/>
                <w:szCs w:val="22"/>
              </w:rPr>
              <w:t xml:space="preserve">THEN &lt;CONTROL </w:t>
            </w:r>
            <w:proofErr w:type="spellStart"/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RESULT.Code</w:t>
            </w:r>
            <w:proofErr w:type="spellEnd"/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&gt; is in SET CL195</w:t>
            </w:r>
          </w:p>
          <w:p w14:paraId="0753BBDB" w14:textId="77777777" w:rsidR="00D20E46" w:rsidRPr="00D20E46" w:rsidRDefault="00D20E46" w:rsidP="00D20E4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ControlResultCodeDepartureSimplifiedExcluded</w:t>
            </w:r>
            <w:proofErr w:type="spellEnd"/>
            <w:r w:rsidRPr="00D20E4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2488CC0" w14:textId="77777777" w:rsidR="009540BB" w:rsidRPr="009540BB" w:rsidRDefault="009540BB" w:rsidP="009540B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9C9AFC5" w14:textId="77777777" w:rsidR="009540BB" w:rsidRDefault="009540BB" w:rsidP="009540B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FBCB1CB" w14:textId="086A2539" w:rsidR="008F345E" w:rsidRDefault="00192054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92054">
              <w:rPr>
                <w:rFonts w:asciiTheme="minorHAnsi" w:hAnsiTheme="minorHAnsi" w:cs="Arial"/>
                <w:sz w:val="22"/>
                <w:szCs w:val="22"/>
              </w:rPr>
              <w:t xml:space="preserve">NCTS-Data Mapping- </w:t>
            </w:r>
            <w:r w:rsidR="00C41DC5">
              <w:rPr>
                <w:rFonts w:asciiTheme="minorHAnsi" w:hAnsiTheme="minorHAnsi" w:cs="Arial"/>
                <w:sz w:val="22"/>
                <w:szCs w:val="22"/>
              </w:rPr>
              <w:t>v0.4</w:t>
            </w:r>
            <w:r w:rsidR="006750E7" w:rsidRPr="006750E7">
              <w:rPr>
                <w:rFonts w:asciiTheme="minorHAnsi" w:hAnsiTheme="minorHAnsi" w:cs="Arial"/>
                <w:sz w:val="22"/>
                <w:szCs w:val="22"/>
                <w:lang w:val="en-US"/>
              </w:rPr>
              <w:t>3</w:t>
            </w:r>
            <w:r w:rsidRPr="00192054">
              <w:rPr>
                <w:rFonts w:asciiTheme="minorHAnsi" w:hAnsiTheme="minorHAnsi" w:cs="Arial"/>
                <w:sz w:val="22"/>
                <w:szCs w:val="22"/>
              </w:rPr>
              <w:t xml:space="preserve"> file: No impact</w:t>
            </w:r>
          </w:p>
          <w:p w14:paraId="5C27E0B1" w14:textId="674DB64E" w:rsidR="00192054" w:rsidRDefault="00192054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B57B25E" w14:textId="77777777" w:rsidR="00932370" w:rsidRPr="001665B7" w:rsidRDefault="00932370" w:rsidP="001665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33B28A1" w14:textId="77777777" w:rsidR="00E32B93" w:rsidRDefault="00E32B93" w:rsidP="00E32B9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Impacted R&amp;C:</w:t>
            </w:r>
          </w:p>
          <w:p w14:paraId="1A60B158" w14:textId="48FDA2EA" w:rsidR="005E6373" w:rsidRPr="00BA3BD4" w:rsidRDefault="001B757A" w:rsidP="005A051F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R0910</w:t>
            </w:r>
          </w:p>
          <w:p w14:paraId="2D04573A" w14:textId="1A932157" w:rsidR="005A051F" w:rsidRPr="006541EF" w:rsidRDefault="005A051F" w:rsidP="006541E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972D535" w14:textId="656A1A7C" w:rsidR="005A051F" w:rsidRDefault="005A051F" w:rsidP="00A631B8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3597751" w14:textId="6E11B39B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Segoe UI"/>
                <w:sz w:val="22"/>
                <w:szCs w:val="22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38244110" w14:textId="77777777" w:rsidR="00A50EA8" w:rsidRDefault="00A50EA8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A435928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</w:rPr>
              <w:t>IMPACT ASSESSMENT: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2EA74402" w14:textId="582B4A0E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This RFC proposal concerns changes at sematic level in Common Domain messages. 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61E8D1B9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>It is considered that the change proposed via the current IAR has impact on business continuity and therefore shall be deployed in a </w:t>
            </w:r>
            <w:r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Big Bang approach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>. More specifically: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3BC28D9C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31BF66A0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</w:rPr>
              <w:t>Changes at semantic level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16D0D082" w14:textId="5FA4A233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The changes at the semantic level, namely concern the </w:t>
            </w:r>
            <w:r w:rsidR="00A50EA8">
              <w:rPr>
                <w:rStyle w:val="normaltextrun"/>
                <w:rFonts w:ascii="Calibri" w:hAnsi="Calibri" w:cs="Segoe UI"/>
                <w:sz w:val="22"/>
                <w:szCs w:val="22"/>
              </w:rPr>
              <w:t>update in the wording of Rule R0910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 </w:t>
            </w:r>
            <w:r w:rsidR="00F80B9A">
              <w:rPr>
                <w:rStyle w:val="normaltextrun"/>
                <w:rFonts w:ascii="Calibri" w:hAnsi="Calibri" w:cs="Segoe UI"/>
                <w:sz w:val="22"/>
                <w:szCs w:val="22"/>
              </w:rPr>
              <w:t xml:space="preserve">applicable 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in common domain messages. 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63DBD089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02DBF249" w14:textId="6034A27F" w:rsidR="005A051F" w:rsidRDefault="005A051F" w:rsidP="005A051F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i/>
                <w:iCs/>
                <w:sz w:val="22"/>
                <w:szCs w:val="22"/>
                <w:u w:val="single"/>
              </w:rPr>
              <w:t xml:space="preserve">With respect to the new </w:t>
            </w:r>
            <w:r w:rsidR="00A50EA8">
              <w:rPr>
                <w:rStyle w:val="normaltextrun"/>
                <w:rFonts w:ascii="Calibri" w:hAnsi="Calibri" w:cs="Segoe UI"/>
                <w:i/>
                <w:iCs/>
                <w:sz w:val="22"/>
                <w:szCs w:val="22"/>
                <w:u w:val="single"/>
              </w:rPr>
              <w:t>Rule R0910</w:t>
            </w:r>
            <w:r>
              <w:rPr>
                <w:rStyle w:val="normaltextrun"/>
                <w:rFonts w:ascii="Calibri" w:hAnsi="Calibri" w:cs="Segoe UI"/>
                <w:i/>
                <w:iCs/>
                <w:sz w:val="22"/>
                <w:szCs w:val="22"/>
              </w:rPr>
              <w:t>: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201AE226" w14:textId="6A56ACDC" w:rsidR="001135EF" w:rsidRPr="001135EF" w:rsidRDefault="005A051F" w:rsidP="00D64BC0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Segoe UI"/>
                <w:sz w:val="18"/>
                <w:szCs w:val="18"/>
              </w:rPr>
            </w:pPr>
            <w:r w:rsidRPr="001135EF">
              <w:rPr>
                <w:rStyle w:val="normaltextrun"/>
                <w:rFonts w:ascii="Calibri" w:hAnsi="Calibri" w:cs="Segoe UI"/>
                <w:sz w:val="22"/>
                <w:szCs w:val="22"/>
              </w:rPr>
              <w:t>If the sender is aligned with the proposed changes (DDNTA 5.15.0),</w:t>
            </w:r>
            <w:r w:rsidRPr="001135EF">
              <w:rPr>
                <w:rStyle w:val="normaltextrun"/>
                <w:rFonts w:ascii="Calibri" w:hAnsi="Calibri" w:cs="Segoe UI"/>
                <w:b/>
                <w:bCs/>
                <w:color w:val="000000"/>
                <w:sz w:val="22"/>
                <w:szCs w:val="22"/>
              </w:rPr>
              <w:t> </w:t>
            </w:r>
            <w:r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and the receiver is not aligned with the proposed changes (DDNTA 5.14.1), </w:t>
            </w:r>
            <w:r w:rsidR="00A50EA8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then </w:t>
            </w:r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a semantic error shall be caused (IE906) due to the violation of R0910 in case the &lt;Additional Declaration Type&gt; is EQUAL to ‘A’, and the /*/</w:t>
            </w:r>
            <w:proofErr w:type="spellStart"/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ControlResult</w:t>
            </w:r>
            <w:proofErr w:type="spellEnd"/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/code takes the value ‘A3’ from CL196</w:t>
            </w:r>
            <w:r w:rsid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.</w:t>
            </w:r>
          </w:p>
          <w:p w14:paraId="1A3252DC" w14:textId="77777777" w:rsidR="001135EF" w:rsidRPr="001135EF" w:rsidRDefault="001135EF" w:rsidP="001135EF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F8273D8" w14:textId="641100ED" w:rsidR="001135EF" w:rsidRPr="00C2559A" w:rsidRDefault="005A051F" w:rsidP="00C2559A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Segoe UI" w:hAnsi="Segoe UI" w:cs="Segoe UI"/>
                <w:sz w:val="18"/>
                <w:szCs w:val="18"/>
              </w:rPr>
            </w:pPr>
            <w:r w:rsidRPr="00B95184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If the sender is not aligned with the proposed changes (DDNTA 5.14.1), </w:t>
            </w:r>
            <w:r w:rsidR="00F80B9A" w:rsidRPr="00B95184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and the receiver is aligned with the proposed changes (DDNTA 5.15.0), </w:t>
            </w:r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then no semantic error shall be caused as </w:t>
            </w:r>
            <w:r w:rsid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t</w:t>
            </w:r>
            <w:r w:rsidR="001135EF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he sender could send </w:t>
            </w:r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/*/</w:t>
            </w:r>
            <w:proofErr w:type="spellStart"/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ControlResult</w:t>
            </w:r>
            <w:proofErr w:type="spellEnd"/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/code </w:t>
            </w:r>
            <w:r w:rsid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with </w:t>
            </w:r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value ‘A</w:t>
            </w:r>
            <w:r w:rsid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1</w:t>
            </w:r>
            <w:r w:rsidR="001135EF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’</w:t>
            </w:r>
            <w:r w:rsid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 or ‘A2’</w:t>
            </w:r>
            <w:r w:rsidR="00B1194B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 in case the Additional Declaration Type is EQUAL to 'A' or </w:t>
            </w:r>
            <w:r w:rsidR="00B1194B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/*/</w:t>
            </w:r>
            <w:proofErr w:type="spellStart"/>
            <w:r w:rsidR="00B1194B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ControlResult</w:t>
            </w:r>
            <w:proofErr w:type="spellEnd"/>
            <w:r w:rsidR="00B1194B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/code</w:t>
            </w:r>
            <w:r w:rsid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 with </w:t>
            </w:r>
            <w:r w:rsidR="00B1194B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value ‘A</w:t>
            </w:r>
            <w:r w:rsid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1</w:t>
            </w:r>
            <w:r w:rsidR="00B1194B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’</w:t>
            </w:r>
            <w:r w:rsid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, ‘A2’ or ‘A3’ </w:t>
            </w:r>
            <w:r w:rsidR="00B1194B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in case the Additional Declaration Type is EQUAL to '</w:t>
            </w:r>
            <w:r w:rsid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D</w:t>
            </w:r>
            <w:r w:rsidR="00B1194B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'</w:t>
            </w:r>
            <w:r w:rsid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. As a result, no issue regarding the value ‘C521’ is </w:t>
            </w:r>
            <w:r w:rsid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lastRenderedPageBreak/>
              <w:t xml:space="preserve">identified. </w:t>
            </w:r>
          </w:p>
          <w:p w14:paraId="7B5D7AA2" w14:textId="77777777" w:rsidR="00C2559A" w:rsidRPr="00C2559A" w:rsidRDefault="00C2559A" w:rsidP="00C2559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9628FB0" w14:textId="50505781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52F4701" w14:textId="77777777" w:rsidR="005A051F" w:rsidRPr="001B3603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</w:rPr>
              <w:t>Movement initiated under the previous DDNTA (5.14.1) release which continues its flow under the new DDNTA (5.15.0) release (open movement)</w:t>
            </w: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</w:rPr>
              <w:t>:</w:t>
            </w:r>
            <w:r w:rsidRPr="001B3603"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  <w:t> </w:t>
            </w:r>
          </w:p>
          <w:p w14:paraId="2C35A0B1" w14:textId="2B536148" w:rsidR="00076E44" w:rsidRPr="001B3603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>No issue is identified if a movement was initiated under the previous DDNTA (DDNTA 5.14.1) release and continues its flow under the new DDNTA (DDNTA 5.15.0) release (open movement)</w:t>
            </w:r>
            <w:r w:rsidR="00AC1C8D"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 xml:space="preserve">, since the movement will </w:t>
            </w:r>
            <w:r w:rsidR="00542146"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 xml:space="preserve">include </w:t>
            </w:r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/*/</w:t>
            </w:r>
            <w:proofErr w:type="spellStart"/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ControlResult</w:t>
            </w:r>
            <w:proofErr w:type="spellEnd"/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/code 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with </w:t>
            </w:r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value ‘A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1</w:t>
            </w:r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’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 or ‘A2’</w:t>
            </w:r>
            <w:r w:rsidR="00542146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 in case the Additional Declaration Type is EQUAL to 'A' or </w:t>
            </w:r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/*/</w:t>
            </w:r>
            <w:proofErr w:type="spellStart"/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ControlResult</w:t>
            </w:r>
            <w:proofErr w:type="spellEnd"/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/code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 with </w:t>
            </w:r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value ‘A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1</w:t>
            </w:r>
            <w:r w:rsidR="00542146" w:rsidRPr="001135EF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’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 xml:space="preserve">, ‘A2’ or ‘A3’ </w:t>
            </w:r>
            <w:r w:rsidR="00542146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in case the Additional Declaration Type is EQUAL to '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D</w:t>
            </w:r>
            <w:r w:rsidR="00542146" w:rsidRPr="00B1194B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'</w:t>
            </w:r>
            <w:r w:rsidR="00542146">
              <w:rPr>
                <w:rStyle w:val="normaltextrun"/>
                <w:rFonts w:ascii="Calibri" w:hAnsi="Calibri" w:cs="Segoe UI"/>
                <w:color w:val="000000"/>
                <w:sz w:val="22"/>
                <w:szCs w:val="22"/>
              </w:rPr>
              <w:t>.</w:t>
            </w:r>
          </w:p>
          <w:p w14:paraId="4E12CA07" w14:textId="2260F328" w:rsidR="00076E44" w:rsidRDefault="00076E44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B227851" w14:textId="39E2DA2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</w:rPr>
              <w:t>Changes at syntactic level</w:t>
            </w:r>
            <w:r w:rsid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</w:rPr>
              <w:t>:</w:t>
            </w:r>
            <w:r w:rsidR="001B3603">
              <w:rPr>
                <w:rStyle w:val="normaltextrun"/>
                <w:b/>
                <w:bCs/>
                <w:u w:val="single"/>
              </w:rPr>
              <w:t xml:space="preserve"> 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  <w:shd w:val="clear" w:color="auto" w:fill="FFFFFF"/>
              </w:rPr>
              <w:t>N/A 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  <w:shd w:val="clear" w:color="auto" w:fill="FFFFFF"/>
                <w:lang w:val="en-GB"/>
              </w:rPr>
              <w:t> 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446E7EC9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2C12DC11" w14:textId="6B9AC3B8" w:rsidR="005A051F" w:rsidRPr="001B3603" w:rsidRDefault="001B3603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006F57E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of not implementing the change</w:t>
            </w:r>
            <w:r w:rsidRPr="006F57E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051F">
              <w:rPr>
                <w:rStyle w:val="normaltextrun"/>
                <w:rFonts w:ascii="Calibri" w:hAnsi="Calibri" w:cs="Segoe UI"/>
                <w:sz w:val="22"/>
                <w:szCs w:val="22"/>
              </w:rPr>
              <w:t>In case of not implementing this change, rejections can possibly occur in common domain messages due to the validation failure of R0</w:t>
            </w:r>
            <w:r w:rsidR="00CE688D">
              <w:rPr>
                <w:rStyle w:val="normaltextrun"/>
                <w:rFonts w:ascii="Calibri" w:hAnsi="Calibri" w:cs="Segoe UI"/>
                <w:sz w:val="22"/>
                <w:szCs w:val="22"/>
              </w:rPr>
              <w:t xml:space="preserve">910. </w:t>
            </w:r>
          </w:p>
          <w:p w14:paraId="078E0C47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A914919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Segoe UI"/>
                <w:color w:val="000000"/>
              </w:rPr>
              <w:t> </w:t>
            </w:r>
          </w:p>
          <w:p w14:paraId="3AE0F626" w14:textId="4E04C368" w:rsidR="00592D9C" w:rsidRDefault="00592D9C" w:rsidP="00592D9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962ACF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="00962ACF" w:rsidRPr="00704C9B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34FF3C2" w14:textId="77777777" w:rsidR="00592D9C" w:rsidRDefault="00592D9C" w:rsidP="00592D9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D473F28" w14:textId="77777777" w:rsidR="00592D9C" w:rsidRDefault="00592D9C" w:rsidP="00592D9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6B3C30E" w14:textId="7052528B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 xml:space="preserve">: </w:t>
            </w:r>
            <w:r w:rsidR="009B77EE"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>No</w:t>
            </w:r>
          </w:p>
          <w:p w14:paraId="594EB8D7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  <w:t> Y</w:t>
            </w:r>
            <w:r>
              <w:rPr>
                <w:rStyle w:val="normaltextrun"/>
                <w:rFonts w:ascii="Calibri" w:hAnsi="Calibri" w:cs="Segoe UI"/>
                <w:lang w:val="en-GB"/>
              </w:rPr>
              <w:t>es</w:t>
            </w:r>
            <w:r>
              <w:rPr>
                <w:rStyle w:val="normaltextrun"/>
                <w:rFonts w:ascii="Calibri" w:hAnsi="Calibri" w:cs="Segoe U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3C15F842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0CBFF116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sz w:val="22"/>
                <w:szCs w:val="22"/>
                <w:lang w:val="en-GB"/>
              </w:rPr>
            </w:pPr>
          </w:p>
          <w:p w14:paraId="41C5B40E" w14:textId="3BFDA56C" w:rsidR="005A051F" w:rsidRP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A051F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  <w:lang w:val="en-GB"/>
              </w:rPr>
              <w:t>New Rules: </w:t>
            </w:r>
            <w:r w:rsidRPr="005A051F">
              <w:rPr>
                <w:rStyle w:val="normaltextrun"/>
                <w:b/>
                <w:bCs/>
                <w:u w:val="single"/>
                <w:lang w:val="en-GB"/>
              </w:rPr>
              <w:t> </w:t>
            </w:r>
          </w:p>
          <w:p w14:paraId="382D7C2B" w14:textId="77777777" w:rsidR="005A051F" w:rsidRPr="00BA3BD4" w:rsidRDefault="005A051F" w:rsidP="005A051F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R0910</w:t>
            </w:r>
          </w:p>
          <w:p w14:paraId="3286E4C9" w14:textId="43052A1D" w:rsidR="005A051F" w:rsidRPr="005A051F" w:rsidRDefault="005A051F" w:rsidP="005A051F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Calibri" w:hAnsi="Calibri" w:cs="Segoe UI"/>
                <w:sz w:val="22"/>
                <w:szCs w:val="22"/>
              </w:rPr>
            </w:pPr>
          </w:p>
          <w:p w14:paraId="04CF7EFE" w14:textId="70DB3125" w:rsidR="005A051F" w:rsidRP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27479045" w14:textId="56E18CDF" w:rsidR="005A051F" w:rsidRP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  <w:lang w:val="en-GB"/>
              </w:rPr>
            </w:pPr>
            <w:r w:rsidRPr="005A051F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u w:val="single"/>
                <w:lang w:val="en-GB"/>
              </w:rPr>
              <w:t>Impacted CIs: </w:t>
            </w:r>
          </w:p>
          <w:p w14:paraId="7F76712B" w14:textId="77777777" w:rsidR="005A051F" w:rsidRDefault="005A051F" w:rsidP="005A051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Segoe UI"/>
                <w:sz w:val="22"/>
                <w:szCs w:val="22"/>
              </w:rPr>
              <w:t> </w:t>
            </w:r>
          </w:p>
          <w:p w14:paraId="7DE0711C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Calibri" w:hAnsi="Calibri" w:cs="Segoe UI"/>
                <w:b/>
                <w:bCs/>
                <w:sz w:val="22"/>
                <w:szCs w:val="22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CSE-v51.6.0: </w:t>
            </w:r>
            <w:proofErr w:type="gramStart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 </w:t>
            </w:r>
            <w:r w:rsidRPr="001B3603"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  <w:t> </w:t>
            </w:r>
          </w:p>
          <w:p w14:paraId="26602DFE" w14:textId="2092086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Calibri" w:hAnsi="Calibri" w:cs="Segoe UI"/>
                <w:b/>
                <w:bCs/>
                <w:sz w:val="22"/>
                <w:szCs w:val="22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DDNTA-5.14.1-v1.00; (Appendix Q2_R_C PDFs): </w:t>
            </w:r>
            <w:proofErr w:type="gramStart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 </w:t>
            </w:r>
            <w:r w:rsidRPr="001B3603"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  <w:t> </w:t>
            </w:r>
          </w:p>
          <w:p w14:paraId="52D135A0" w14:textId="6030728C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Calibri" w:hAnsi="Calibri" w:cs="Segoe UI"/>
                <w:b/>
                <w:bCs/>
                <w:sz w:val="22"/>
                <w:szCs w:val="22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DMP Package-v5.6.0 SfA-v1.00: (incl. update of file Rules and Conditions_v0.43): </w:t>
            </w:r>
            <w:proofErr w:type="gramStart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 </w:t>
            </w:r>
            <w:r w:rsidRPr="001B3603"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  <w:t> </w:t>
            </w:r>
          </w:p>
          <w:p w14:paraId="3F03187C" w14:textId="6ED64FF0" w:rsidR="005A051F" w:rsidRPr="001B3603" w:rsidRDefault="005A051F" w:rsidP="44B748F2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Calibri" w:hAnsi="Calibri" w:cs="Segoe UI"/>
                <w:b/>
                <w:bCs/>
                <w:sz w:val="22"/>
                <w:szCs w:val="22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NCTS_TRP-5.7.</w:t>
            </w:r>
            <w:r w:rsidR="182794F4"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5</w:t>
            </w: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: </w:t>
            </w:r>
            <w:proofErr w:type="gramStart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 </w:t>
            </w:r>
            <w:r w:rsidRPr="001B3603"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  <w:t> </w:t>
            </w:r>
          </w:p>
          <w:p w14:paraId="1C7B3807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NCTS_CTP-5.7.0-v1.00: </w:t>
            </w:r>
            <w:proofErr w:type="gramStart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 </w:t>
            </w:r>
          </w:p>
          <w:p w14:paraId="3C74F362" w14:textId="558E5DD5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</w:pPr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ACS - v5.5.0 &amp; ACS-Annex-NCTS: 5.5.0: </w:t>
            </w:r>
            <w:proofErr w:type="gramStart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Yes;</w:t>
            </w:r>
            <w:proofErr w:type="gramEnd"/>
            <w:r w:rsidRPr="001B3603">
              <w:rPr>
                <w:rStyle w:val="normaltextrun"/>
                <w:rFonts w:ascii="Calibri" w:hAnsi="Calibri" w:cs="Segoe UI"/>
                <w:b/>
                <w:bCs/>
                <w:sz w:val="22"/>
                <w:szCs w:val="22"/>
                <w:lang w:val="en-GB"/>
              </w:rPr>
              <w:t>  </w:t>
            </w:r>
            <w:r w:rsidRPr="001B3603">
              <w:rPr>
                <w:rStyle w:val="eop"/>
                <w:rFonts w:ascii="Calibri" w:hAnsi="Calibri" w:cs="Segoe UI"/>
                <w:b/>
                <w:bCs/>
                <w:sz w:val="22"/>
                <w:szCs w:val="22"/>
              </w:rPr>
              <w:t> </w:t>
            </w:r>
          </w:p>
          <w:p w14:paraId="51B28B72" w14:textId="11A040E4" w:rsidR="001B3603" w:rsidRDefault="001B3603" w:rsidP="001B3603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="Calibri" w:hAnsi="Calibri" w:cs="Segoe UI"/>
                <w:sz w:val="22"/>
                <w:szCs w:val="22"/>
              </w:rPr>
            </w:pPr>
          </w:p>
          <w:p w14:paraId="4BF0CEAB" w14:textId="17809F88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 </w:t>
            </w:r>
          </w:p>
          <w:p w14:paraId="492F57B1" w14:textId="41E8F58B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38440A6D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1.0.1.0: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 </w:t>
            </w:r>
          </w:p>
          <w:p w14:paraId="2550CB5F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 </w:t>
            </w:r>
          </w:p>
          <w:p w14:paraId="2796B1D6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 </w:t>
            </w:r>
          </w:p>
          <w:p w14:paraId="5B312CAB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088B725E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 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8AF363F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 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24C0EE46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 </w:t>
            </w:r>
            <w:proofErr w:type="gramStart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</w:t>
            </w: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1881AFAD" w14:textId="77777777" w:rsidR="005A051F" w:rsidRPr="001B3603" w:rsidRDefault="005A051F" w:rsidP="005A051F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No. </w:t>
            </w:r>
            <w:r w:rsidRPr="001B3603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43EDA440" w14:textId="77777777" w:rsidR="00932370" w:rsidRDefault="00932370" w:rsidP="00E32B93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D5E4F00" w14:textId="6B87E9F3" w:rsidR="00C001F9" w:rsidRPr="005A051F" w:rsidRDefault="00C001F9" w:rsidP="005A051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96BF74" w14:textId="77777777" w:rsidR="003D4A7A" w:rsidRDefault="003D4A7A" w:rsidP="00C001F9">
      <w:pPr>
        <w:rPr>
          <w:rFonts w:asciiTheme="minorHAnsi" w:hAnsiTheme="minorHAnsi" w:cs="Arial"/>
        </w:rPr>
      </w:pPr>
    </w:p>
    <w:p w14:paraId="2C102A54" w14:textId="77777777" w:rsidR="00A32D3E" w:rsidRPr="00A41143" w:rsidRDefault="00A32D3E" w:rsidP="00C001F9">
      <w:pPr>
        <w:rPr>
          <w:rFonts w:asciiTheme="minorHAnsi" w:hAnsiTheme="minorHAnsi" w:cs="Arial"/>
        </w:rPr>
      </w:pPr>
    </w:p>
    <w:p w14:paraId="03349549" w14:textId="77777777" w:rsidR="001F16BA" w:rsidRPr="00A41143" w:rsidRDefault="001F16BA" w:rsidP="00C001F9">
      <w:pPr>
        <w:rPr>
          <w:rFonts w:asciiTheme="minorHAnsi" w:hAnsiTheme="minorHAnsi" w:cs="Arial"/>
        </w:rPr>
      </w:pPr>
    </w:p>
    <w:p w14:paraId="134FD0E9" w14:textId="353235DB" w:rsidR="009B4627" w:rsidRDefault="009B4627" w:rsidP="00C001F9">
      <w:pPr>
        <w:rPr>
          <w:rFonts w:asciiTheme="minorHAnsi" w:hAnsiTheme="minorHAnsi" w:cs="Arial"/>
          <w:b/>
          <w:sz w:val="28"/>
          <w:szCs w:val="28"/>
        </w:rPr>
      </w:pPr>
      <w:r w:rsidRPr="261247F6">
        <w:rPr>
          <w:rFonts w:asciiTheme="minorHAnsi" w:hAnsiTheme="minorHAnsi" w:cs="Arial"/>
          <w:b/>
          <w:bCs/>
          <w:sz w:val="28"/>
          <w:szCs w:val="28"/>
        </w:rPr>
        <w:t>Impact on CI artefacts</w:t>
      </w:r>
      <w:r w:rsidR="00CF4FD0" w:rsidRPr="261247F6">
        <w:rPr>
          <w:rFonts w:asciiTheme="minorHAnsi" w:hAnsiTheme="minorHAnsi" w:cs="Arial"/>
          <w:b/>
          <w:bCs/>
          <w:sz w:val="28"/>
          <w:szCs w:val="28"/>
        </w:rPr>
        <w:t>2</w:t>
      </w:r>
    </w:p>
    <w:p w14:paraId="6248F144" w14:textId="77777777" w:rsidR="00351034" w:rsidRDefault="00351034" w:rsidP="00C001F9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CF4FD0" w:rsidRPr="006B1220" w14:paraId="6C22D77F" w14:textId="77777777" w:rsidTr="44B748F2">
        <w:trPr>
          <w:trHeight w:val="403"/>
        </w:trPr>
        <w:tc>
          <w:tcPr>
            <w:tcW w:w="2802" w:type="dxa"/>
          </w:tcPr>
          <w:p w14:paraId="7DBECE84" w14:textId="5120136C" w:rsidR="00CF4FD0" w:rsidRPr="00C9462E" w:rsidRDefault="00CF4FD0" w:rsidP="1BB61D57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  <w:lang w:val="fr-BE"/>
              </w:rPr>
            </w:pPr>
            <w:r w:rsidRPr="1BB61D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ImpSPEEDECN"/>
            <w:r w:rsidRPr="1BB61D57">
              <w:rPr>
                <w:rFonts w:asciiTheme="minorHAnsi" w:hAnsiTheme="minorHAnsi" w:cs="Arial"/>
                <w:b/>
                <w:bCs/>
                <w:sz w:val="22"/>
                <w:szCs w:val="22"/>
                <w:lang w:val="fr-BE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1BB61D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bookmarkEnd w:id="2"/>
            <w:r w:rsidRPr="00C9462E">
              <w:rPr>
                <w:lang w:val="fr-BE"/>
              </w:rPr>
              <w:t xml:space="preserve"> </w:t>
            </w:r>
            <w:r w:rsidR="16D17492" w:rsidRPr="1BB61D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DDNTA-5.14.1-v1.00</w:t>
            </w:r>
            <w:r w:rsidR="00702548" w:rsidRPr="1BB61D5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1BB61D57">
              <w:rPr>
                <w:rFonts w:asciiTheme="minorHAnsi" w:hAnsiTheme="minorHAnsi" w:cs="Arial"/>
                <w:b/>
                <w:bCs/>
                <w:sz w:val="22"/>
                <w:szCs w:val="22"/>
                <w:lang w:val="fr-BE"/>
              </w:rPr>
              <w:t>(Appendices)</w:t>
            </w:r>
          </w:p>
        </w:tc>
        <w:tc>
          <w:tcPr>
            <w:tcW w:w="6804" w:type="dxa"/>
          </w:tcPr>
          <w:p w14:paraId="1C058A01" w14:textId="7FE8B6B2" w:rsidR="00CF4FD0" w:rsidRPr="00A93BDF" w:rsidRDefault="00CF4FD0" w:rsidP="006F4E7B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3D0C7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D0C7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D0C7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3D0C7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0C7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D0C7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F4FD0" w14:paraId="63E1BD6E" w14:textId="77777777" w:rsidTr="006F4E7B">
              <w:tc>
                <w:tcPr>
                  <w:tcW w:w="6573" w:type="dxa"/>
                </w:tcPr>
                <w:p w14:paraId="30FE8AC6" w14:textId="3E6E19A6" w:rsidR="00932370" w:rsidRDefault="00932370" w:rsidP="00932370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 xml:space="preserve">Update of:  </w:t>
                  </w:r>
                </w:p>
                <w:p w14:paraId="28EC41B0" w14:textId="3139055D" w:rsidR="00932370" w:rsidRDefault="00932370" w:rsidP="00932370">
                  <w:pPr>
                    <w:pStyle w:val="ListParagraph"/>
                    <w:numPr>
                      <w:ilvl w:val="0"/>
                      <w:numId w:val="4"/>
                    </w:num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94CA4">
                    <w:rPr>
                      <w:rFonts w:asciiTheme="minorHAnsi" w:hAnsiTheme="minorHAnsi" w:cs="Arial"/>
                      <w:sz w:val="22"/>
                      <w:szCs w:val="22"/>
                    </w:rPr>
                    <w:t>DDNTA_APP_Q2 R_C</w:t>
                  </w:r>
                </w:p>
                <w:p w14:paraId="0AA0B656" w14:textId="6A5E7F67" w:rsidR="00932370" w:rsidRDefault="00932370" w:rsidP="00932370">
                  <w:pPr>
                    <w:pStyle w:val="ListParagraph"/>
                    <w:numPr>
                      <w:ilvl w:val="0"/>
                      <w:numId w:val="4"/>
                    </w:num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 w:rsidRPr="00E94CA4">
                    <w:rPr>
                      <w:rFonts w:asciiTheme="minorHAnsi" w:hAnsiTheme="minorHAnsi" w:cs="Arial"/>
                      <w:sz w:val="22"/>
                      <w:szCs w:val="22"/>
                    </w:rPr>
                    <w:t>DDNTA_APP_Q2</w:t>
                  </w:r>
                </w:p>
                <w:p w14:paraId="1B8BF925" w14:textId="740CACCD" w:rsidR="002576E3" w:rsidRDefault="002576E3" w:rsidP="001B757A">
                  <w:pPr>
                    <w:pStyle w:val="ListParagraph"/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62D1F9E" w14:textId="77777777" w:rsidR="00CF4FD0" w:rsidRPr="00B62BD3" w:rsidRDefault="00CF4FD0" w:rsidP="006F4E7B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E524A" w:rsidRPr="00B62BD3" w14:paraId="748A24D0" w14:textId="77777777" w:rsidTr="44B748F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D07C" w14:textId="50EFBA69" w:rsidR="003E524A" w:rsidRPr="006B1220" w:rsidRDefault="003E524A" w:rsidP="006F4E7B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702548" w:rsidRPr="0070254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CSE-v51.6.0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06FA" w14:textId="77777777" w:rsidR="003E524A" w:rsidRPr="003E524A" w:rsidRDefault="003E524A" w:rsidP="006F4E7B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70118E2B" w14:textId="77777777" w:rsidR="003E524A" w:rsidRPr="003E524A" w:rsidRDefault="003E524A" w:rsidP="006F4E7B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3E524A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3E524A" w:rsidRPr="003E524A" w14:paraId="361A6402" w14:textId="77777777" w:rsidTr="006F4E7B">
              <w:tc>
                <w:tcPr>
                  <w:tcW w:w="6573" w:type="dxa"/>
                </w:tcPr>
                <w:p w14:paraId="6C87F04B" w14:textId="1BED9F6F" w:rsidR="003E524A" w:rsidRPr="003E524A" w:rsidRDefault="00CF5644" w:rsidP="006F4E7B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Updates as</w:t>
                  </w:r>
                  <w:r w:rsidR="003E524A" w:rsidRPr="003E524A"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described in section 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D7B76D2" w14:textId="77777777" w:rsidR="003E524A" w:rsidRPr="00B62BD3" w:rsidRDefault="003E524A" w:rsidP="006F4E7B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23D3E" w:rsidRPr="00B62BD3" w14:paraId="1A34EDBE" w14:textId="77777777" w:rsidTr="44B748F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51DD" w14:textId="6877F428" w:rsidR="00623D3E" w:rsidRDefault="00623D3E" w:rsidP="00623D3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Package-v</w:t>
            </w:r>
            <w:r w:rsidRPr="00225D6C">
              <w:rPr>
                <w:rFonts w:asciiTheme="minorHAnsi" w:hAnsiTheme="minorHAnsi" w:cs="Arial"/>
                <w:b/>
                <w:sz w:val="22"/>
                <w:szCs w:val="22"/>
              </w:rPr>
              <w:t>5.6.0 SfA-v1.00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909A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15E42BA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623D3E" w14:paraId="0FA125FD" w14:textId="77777777" w:rsidTr="0040711F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2D127" w14:textId="77777777" w:rsidR="00623D3E" w:rsidRDefault="00623D3E" w:rsidP="00623D3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Rules and Conditions_v0.43 file to be updated </w:t>
                  </w:r>
                </w:p>
                <w:p w14:paraId="508EC179" w14:textId="77777777" w:rsidR="00623D3E" w:rsidRPr="00587645" w:rsidRDefault="00623D3E" w:rsidP="00623D3E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0D22DD5" w14:textId="77777777" w:rsidR="00623D3E" w:rsidRPr="003E524A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623D3E" w:rsidRPr="00B62BD3" w14:paraId="76B76C3C" w14:textId="77777777" w:rsidTr="44B748F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1304" w14:textId="12B578F9" w:rsidR="00623D3E" w:rsidRPr="00453FD9" w:rsidRDefault="00623D3E" w:rsidP="00623D3E">
            <w:pPr>
              <w:rPr>
                <w:rFonts w:cs="Arial"/>
                <w:b/>
                <w:bCs/>
                <w:lang w:eastAsia="en-GB"/>
              </w:rPr>
            </w:pPr>
            <w:r w:rsidRPr="44B74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44B74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44B74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44B74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TRP-5.7.</w:t>
            </w:r>
            <w:r w:rsidR="3AEE9B00" w:rsidRPr="44B748F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55A6" w14:textId="3A16E9E2" w:rsidR="00623D3E" w:rsidRPr="00DF328D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8F588F0" w14:textId="77777777" w:rsidR="00623D3E" w:rsidRPr="00DF328D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DF328D"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623D3E" w14:paraId="0EFA2A7F" w14:textId="77777777" w:rsidTr="006F4E7B">
              <w:tc>
                <w:tcPr>
                  <w:tcW w:w="6573" w:type="dxa"/>
                </w:tcPr>
                <w:p w14:paraId="1E932B8B" w14:textId="2073A813" w:rsidR="00623D3E" w:rsidRDefault="00623D3E" w:rsidP="00623D3E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CF5644">
                    <w:rPr>
                      <w:rFonts w:asciiTheme="minorHAnsi" w:hAnsiTheme="minorHAnsi" w:cs="Arial"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2E3D0A0D" w14:textId="77777777" w:rsidR="00623D3E" w:rsidRPr="00DF328D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623D3E" w14:paraId="42998788" w14:textId="77777777" w:rsidTr="44B748F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7C0" w14:textId="0D396060" w:rsidR="00623D3E" w:rsidRPr="00BD5FDB" w:rsidRDefault="00623D3E" w:rsidP="00623D3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C03F12">
              <w:rPr>
                <w:rFonts w:asciiTheme="minorHAnsi" w:hAnsiTheme="minorHAnsi" w:cs="Arial"/>
                <w:b/>
                <w:sz w:val="22"/>
                <w:szCs w:val="22"/>
              </w:rPr>
              <w:t xml:space="preserve"> CRP-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v</w:t>
            </w:r>
            <w:r w:rsidRPr="00B25824">
              <w:rPr>
                <w:rFonts w:asciiTheme="minorHAnsi" w:hAnsiTheme="minorHAnsi" w:cs="Arial"/>
                <w:b/>
                <w:sz w:val="22"/>
                <w:szCs w:val="22"/>
              </w:rPr>
              <w:t>5.5-v1.00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4E90" w14:textId="109CC14F" w:rsidR="00623D3E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1A84E4E6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623D3E" w14:paraId="072F1CB8" w14:textId="7777777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E0552" w14:textId="77072ACE" w:rsidR="00623D3E" w:rsidRDefault="00623D3E" w:rsidP="00623D3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 w:rsidRPr="00CF5644">
                    <w:rPr>
                      <w:rFonts w:asciiTheme="minorHAnsi" w:hAnsiTheme="minorHAnsi" w:cs="Arial"/>
                      <w:sz w:val="22"/>
                      <w:szCs w:val="22"/>
                      <w:lang w:eastAsia="en-GB"/>
                    </w:rPr>
                    <w:t>A new version of CRP will be published due to the updates of its components.</w:t>
                  </w:r>
                </w:p>
              </w:tc>
            </w:tr>
          </w:tbl>
          <w:p w14:paraId="356D711F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623D3E" w14:paraId="4F9490F5" w14:textId="77777777" w:rsidTr="44B748F2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0EAF" w14:textId="05950C9C" w:rsidR="00623D3E" w:rsidRPr="00C03F12" w:rsidRDefault="00623D3E" w:rsidP="00623D3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21BF4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70254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CTP-5.7.0-v1.00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96CD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36E929F0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623D3E" w14:paraId="119EE24C" w14:textId="77777777" w:rsidTr="0040711F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AB282" w14:textId="77777777" w:rsidR="00623D3E" w:rsidRDefault="00623D3E" w:rsidP="00623D3E">
                  <w:pPr>
                    <w:spacing w:before="120"/>
                    <w:rPr>
                      <w:rFonts w:asciiTheme="minorHAnsi" w:hAnsiTheme="minorHAnsi" w:cs="Arial"/>
                      <w:sz w:val="22"/>
                      <w:szCs w:val="22"/>
                      <w:lang w:eastAsia="en-GB"/>
                    </w:rPr>
                  </w:pPr>
                  <w:r w:rsidRPr="00F36700">
                    <w:rPr>
                      <w:rFonts w:asciiTheme="minorHAnsi" w:hAnsiTheme="minorHAnsi" w:cs="Arial"/>
                      <w:sz w:val="22"/>
                      <w:szCs w:val="22"/>
                      <w:lang w:eastAsia="en-GB"/>
                    </w:rPr>
                    <w:t>Alignment of scenarios according to the updates of specifications.</w:t>
                  </w:r>
                </w:p>
              </w:tc>
            </w:tr>
          </w:tbl>
          <w:p w14:paraId="5ED940B7" w14:textId="77777777" w:rsidR="00623D3E" w:rsidRDefault="00623D3E" w:rsidP="00623D3E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40CB2A" w14:textId="77777777" w:rsidR="00CF4FD0" w:rsidRPr="00A32D3E" w:rsidRDefault="00CF4FD0" w:rsidP="00C001F9">
      <w:pPr>
        <w:rPr>
          <w:rFonts w:asciiTheme="minorHAnsi" w:hAnsiTheme="minorHAnsi" w:cs="Arial"/>
          <w:b/>
          <w:sz w:val="28"/>
          <w:szCs w:val="28"/>
        </w:rPr>
      </w:pPr>
    </w:p>
    <w:p w14:paraId="189E02BD" w14:textId="00DBC0F7" w:rsidR="00B366B4" w:rsidRDefault="00B366B4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9866EF8" w14:textId="77777777" w:rsidR="00B366B4" w:rsidRDefault="00B366B4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38B056C" w14:textId="79364EA9" w:rsidR="00A32D3E" w:rsidRPr="00A32D3E" w:rsidRDefault="00AC1C8D" w:rsidP="00A32D3E">
      <w:pPr>
        <w:rPr>
          <w:rFonts w:asciiTheme="minorHAnsi" w:hAnsiTheme="minorHAnsi" w:cs="Arial"/>
          <w:b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32D3E" w:rsidRPr="006B1220" w14:paraId="520AB720" w14:textId="77777777" w:rsidTr="00A32D3E">
        <w:trPr>
          <w:trHeight w:val="2016"/>
        </w:trPr>
        <w:tc>
          <w:tcPr>
            <w:tcW w:w="2802" w:type="dxa"/>
          </w:tcPr>
          <w:p w14:paraId="475BD3C8" w14:textId="77777777" w:rsidR="00A32D3E" w:rsidRPr="006B1220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28D86770" w14:textId="4BC7FBEF" w:rsidR="00A32D3E" w:rsidRDefault="00A32D3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1B360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60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B360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1B360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B360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1B360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4637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1050DFB" w14:textId="77777777" w:rsidR="00A32D3E" w:rsidRDefault="00A32D3E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32D3E" w14:paraId="3E285237" w14:textId="77777777" w:rsidTr="00A32D3E">
              <w:trPr>
                <w:trHeight w:val="1105"/>
              </w:trPr>
              <w:tc>
                <w:tcPr>
                  <w:tcW w:w="6573" w:type="dxa"/>
                </w:tcPr>
                <w:p w14:paraId="7B8E0FFD" w14:textId="74BE088A" w:rsidR="001B3603" w:rsidRPr="001B3603" w:rsidRDefault="001B3603" w:rsidP="001B3603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normaltextrun"/>
                      <w:rFonts w:ascii="Calibri" w:hAnsi="Calibri"/>
                      <w:sz w:val="22"/>
                      <w:szCs w:val="22"/>
                      <w:lang w:val="en-GB"/>
                    </w:rPr>
                  </w:pPr>
                  <w:r w:rsidRPr="001B3603">
                    <w:rPr>
                      <w:rStyle w:val="normaltextrun"/>
                      <w:rFonts w:ascii="Calibri" w:hAnsi="Calibri" w:cs="Segoe UI"/>
                      <w:sz w:val="22"/>
                      <w:szCs w:val="22"/>
                      <w:lang w:val="en-GB"/>
                    </w:rPr>
                    <w:t>The RFC proposal concerns changes at sematic level in Common Domain messages. </w:t>
                  </w:r>
                  <w:r w:rsidRPr="001B3603">
                    <w:rPr>
                      <w:rStyle w:val="normaltextrun"/>
                      <w:lang w:val="en-GB"/>
                    </w:rPr>
                    <w:t> </w:t>
                  </w:r>
                </w:p>
                <w:p w14:paraId="09F604F1" w14:textId="14084AD5" w:rsidR="00A32D3E" w:rsidRDefault="001B3603" w:rsidP="001B360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Segoe UI"/>
                      <w:sz w:val="22"/>
                      <w:szCs w:val="22"/>
                    </w:rPr>
                    <w:t>It is considered that the change proposed via the current IAR has impact on business continuity and therefore shall be deployed in a </w:t>
                  </w:r>
                  <w:r w:rsidRPr="001B3603">
                    <w:rPr>
                      <w:rStyle w:val="normaltextrun"/>
                      <w:rFonts w:ascii="Calibri" w:hAnsi="Calibri" w:cs="Segoe UI"/>
                      <w:sz w:val="22"/>
                      <w:szCs w:val="22"/>
                    </w:rPr>
                    <w:t>Big Bang approach</w:t>
                  </w:r>
                  <w:r>
                    <w:rPr>
                      <w:rStyle w:val="normaltextrun"/>
                      <w:rFonts w:ascii="Calibri" w:hAnsi="Calibri" w:cs="Segoe U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BE6D874" w14:textId="77777777" w:rsidR="00A32D3E" w:rsidRPr="00B62BD3" w:rsidRDefault="00A32D3E" w:rsidP="003643E4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020306E" w14:textId="783F03B2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EAE55AA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511920BD" w14:textId="77777777" w:rsidR="00A37C91" w:rsidRPr="00074158" w:rsidRDefault="00A37C91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C09E586" w14:textId="77777777" w:rsidR="00A37C91" w:rsidRPr="00074158" w:rsidRDefault="00A37C91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F27864" w:rsidRPr="00074158" w14:paraId="5532DDD3" w14:textId="77777777" w:rsidTr="725FADAD">
        <w:tc>
          <w:tcPr>
            <w:tcW w:w="4849" w:type="dxa"/>
            <w:gridSpan w:val="3"/>
            <w:shd w:val="clear" w:color="auto" w:fill="D9D9D9" w:themeFill="background1" w:themeFillShade="D9"/>
          </w:tcPr>
          <w:p w14:paraId="32B730FA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38DEC4DB" w14:textId="77777777" w:rsidR="00F27864" w:rsidRPr="00074158" w:rsidRDefault="00F27864" w:rsidP="00906339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F27864" w:rsidRPr="00074158" w14:paraId="66743166" w14:textId="77777777" w:rsidTr="725FADAD">
        <w:trPr>
          <w:trHeight w:val="284"/>
        </w:trPr>
        <w:tc>
          <w:tcPr>
            <w:tcW w:w="1049" w:type="dxa"/>
          </w:tcPr>
          <w:p w14:paraId="1B74C072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074158" w:rsidRDefault="00F27864" w:rsidP="00E92DD1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074158" w:rsidRDefault="00F27864" w:rsidP="00906339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B3603" w:rsidRPr="00074158" w14:paraId="6FE8709E" w14:textId="77777777" w:rsidTr="725FADAD">
        <w:trPr>
          <w:trHeight w:val="284"/>
        </w:trPr>
        <w:tc>
          <w:tcPr>
            <w:tcW w:w="1049" w:type="dxa"/>
          </w:tcPr>
          <w:p w14:paraId="1297F5F7" w14:textId="40E9D057" w:rsidR="001B3603" w:rsidRPr="006B1220" w:rsidRDefault="001B3603" w:rsidP="001B36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6AC3CB63" w14:textId="13193A0B" w:rsidR="001B3603" w:rsidRPr="006B1220" w:rsidRDefault="001B3603" w:rsidP="001B360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745E79D1" w14:textId="771D1C41" w:rsidR="001B3603" w:rsidRPr="006B1220" w:rsidRDefault="001B3603" w:rsidP="001B360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19</w:t>
            </w:r>
            <w:r>
              <w:rPr>
                <w:rFonts w:asciiTheme="minorHAnsi" w:hAnsiTheme="minorHAnsi" w:cs="Arial"/>
                <w:sz w:val="22"/>
                <w:szCs w:val="22"/>
              </w:rPr>
              <w:t>/11/2021</w:t>
            </w:r>
          </w:p>
        </w:tc>
        <w:tc>
          <w:tcPr>
            <w:tcW w:w="4756" w:type="dxa"/>
          </w:tcPr>
          <w:p w14:paraId="6774337F" w14:textId="77777777" w:rsidR="001B3603" w:rsidRPr="006B1220" w:rsidRDefault="001B3603" w:rsidP="001B360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1B3603" w:rsidRPr="00074158" w14:paraId="2B95239C" w14:textId="77777777" w:rsidTr="725FADAD">
        <w:trPr>
          <w:trHeight w:val="284"/>
        </w:trPr>
        <w:tc>
          <w:tcPr>
            <w:tcW w:w="1049" w:type="dxa"/>
          </w:tcPr>
          <w:p w14:paraId="3A9CAF8A" w14:textId="3EFD586C" w:rsidR="001B3603" w:rsidRPr="006B1220" w:rsidRDefault="00C72769" w:rsidP="001B36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</w:tcPr>
          <w:p w14:paraId="28072444" w14:textId="49408ED8" w:rsidR="001B3603" w:rsidRPr="006B1220" w:rsidRDefault="001B3603" w:rsidP="001B360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Updates 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>by CUSTDEV</w:t>
            </w:r>
          </w:p>
        </w:tc>
        <w:tc>
          <w:tcPr>
            <w:tcW w:w="1678" w:type="dxa"/>
          </w:tcPr>
          <w:p w14:paraId="35070418" w14:textId="635C749E" w:rsidR="001B3603" w:rsidRDefault="001B3603" w:rsidP="001B36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15</w:t>
            </w:r>
            <w:r>
              <w:rPr>
                <w:rFonts w:asciiTheme="minorHAnsi" w:hAnsiTheme="minorHAnsi" w:cs="Arial"/>
                <w:sz w:val="22"/>
                <w:szCs w:val="22"/>
              </w:rPr>
              <w:t>/12/2021</w:t>
            </w:r>
          </w:p>
        </w:tc>
        <w:tc>
          <w:tcPr>
            <w:tcW w:w="4756" w:type="dxa"/>
          </w:tcPr>
          <w:p w14:paraId="6934D9D1" w14:textId="648551AA" w:rsidR="001B3603" w:rsidRPr="006B1220" w:rsidRDefault="001B3603" w:rsidP="001B3603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346372" w:rsidRPr="00074158" w14:paraId="73C51F60" w14:textId="77777777" w:rsidTr="725FADAD">
        <w:trPr>
          <w:trHeight w:val="284"/>
        </w:trPr>
        <w:tc>
          <w:tcPr>
            <w:tcW w:w="1049" w:type="dxa"/>
          </w:tcPr>
          <w:p w14:paraId="51A6444A" w14:textId="20EA5526" w:rsidR="00346372" w:rsidRPr="006B1220" w:rsidRDefault="00346372" w:rsidP="0034637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72969A87" w14:textId="0E13F285" w:rsidR="00346372" w:rsidRDefault="00346372" w:rsidP="0034637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16B33078" w14:textId="1E33B0DA" w:rsidR="00346372" w:rsidRDefault="00346372" w:rsidP="0034637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25</w:t>
            </w:r>
            <w:r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>2/202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3573625" w14:textId="0EE0AF03" w:rsidR="00346372" w:rsidRDefault="00346372" w:rsidP="00346372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</w:tbl>
    <w:p w14:paraId="158DED6F" w14:textId="77777777" w:rsidR="00F27864" w:rsidRPr="00074158" w:rsidRDefault="00F27864" w:rsidP="00F27864">
      <w:pPr>
        <w:rPr>
          <w:rFonts w:asciiTheme="minorHAnsi" w:hAnsiTheme="minorHAnsi" w:cs="Calibri"/>
        </w:rPr>
      </w:pPr>
    </w:p>
    <w:p w14:paraId="00DA89C7" w14:textId="77777777" w:rsidR="00F27864" w:rsidRPr="00074158" w:rsidRDefault="00F27864" w:rsidP="00F27864">
      <w:pPr>
        <w:autoSpaceDE w:val="0"/>
        <w:autoSpaceDN w:val="0"/>
        <w:adjustRightInd w:val="0"/>
        <w:rPr>
          <w:rFonts w:asciiTheme="minorHAnsi" w:hAnsiTheme="minorHAnsi" w:cs="Arial"/>
        </w:rPr>
      </w:pPr>
    </w:p>
    <w:sectPr w:rsidR="00F27864" w:rsidRPr="00074158" w:rsidSect="00F2786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076E44" w:rsidRDefault="00076E44" w:rsidP="004D5D73">
      <w:r>
        <w:separator/>
      </w:r>
    </w:p>
  </w:endnote>
  <w:endnote w:type="continuationSeparator" w:id="0">
    <w:p w14:paraId="5018236F" w14:textId="77777777" w:rsidR="00076E44" w:rsidRDefault="00076E44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EE28C" w14:textId="77777777" w:rsidR="00346372" w:rsidRDefault="003463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902"/>
      <w:gridCol w:w="1478"/>
    </w:tblGrid>
    <w:tr w:rsidR="00076E44" w:rsidRPr="00C80B22" w14:paraId="0253C7CC" w14:textId="77777777" w:rsidTr="00C80B22">
      <w:tc>
        <w:tcPr>
          <w:tcW w:w="8188" w:type="dxa"/>
        </w:tcPr>
        <w:p w14:paraId="725FBF4A" w14:textId="32BC36E3" w:rsidR="00076E44" w:rsidRPr="00856354" w:rsidRDefault="001B3603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05B4C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B05B4C" w:rsidRPr="00B05B4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0159</w:t>
          </w:r>
          <w:r w:rsidR="00B05B4C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_CUSTDEV3-IAR-RTC56604-</w:t>
          </w:r>
          <w:r w:rsidR="0034637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</w:t>
          </w:r>
          <w:r w:rsidR="00B05B4C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34637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B05B4C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346372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B05B4C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="00346372">
            <w:rPr>
              <w:rFonts w:ascii="Arial" w:hAnsi="Arial" w:cs="Arial"/>
              <w:noProof/>
              <w:sz w:val="18"/>
              <w:szCs w:val="22"/>
              <w:lang w:eastAsia="en-US"/>
            </w:rPr>
            <w:t>d</w:t>
          </w:r>
          <w:r w:rsidR="00B05B4C" w:rsidRPr="00B05B4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0478BE2" w:rsidR="00076E44" w:rsidRPr="00C80B22" w:rsidRDefault="00076E44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3" w:name="_Ref175030069"/>
          <w:bookmarkStart w:id="4" w:name="_Toc176256264"/>
          <w:bookmarkStart w:id="5" w:name="_Toc268771938"/>
          <w:bookmarkStart w:id="6" w:name="_Ref175030083"/>
        </w:p>
      </w:tc>
    </w:tr>
    <w:bookmarkEnd w:id="3"/>
    <w:bookmarkEnd w:id="4"/>
    <w:bookmarkEnd w:id="5"/>
    <w:bookmarkEnd w:id="6"/>
  </w:tbl>
  <w:p w14:paraId="6324965A" w14:textId="77777777" w:rsidR="00076E44" w:rsidRPr="00C80B22" w:rsidRDefault="00076E44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076E44" w:rsidRPr="00C80B22" w14:paraId="2DED1938" w14:textId="77777777" w:rsidTr="00983563">
      <w:tc>
        <w:tcPr>
          <w:tcW w:w="7899" w:type="dxa"/>
        </w:tcPr>
        <w:p w14:paraId="71EC7701" w14:textId="5BE32E4B" w:rsidR="00076E44" w:rsidRPr="001B3603" w:rsidRDefault="00076E44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30671C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30671C" w:rsidRPr="0030671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0159</w:t>
          </w:r>
          <w:r w:rsidR="0030671C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_CUSTDEV3-IAR-RTC56604-</w:t>
          </w:r>
          <w:r w:rsidR="0034637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v1</w:t>
          </w:r>
          <w:r w:rsidR="0030671C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34637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30671C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346372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30671C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="00346372">
            <w:rPr>
              <w:rFonts w:ascii="Arial" w:hAnsi="Arial" w:cs="Arial"/>
              <w:noProof/>
              <w:sz w:val="18"/>
              <w:szCs w:val="22"/>
              <w:lang w:eastAsia="en-US"/>
            </w:rPr>
            <w:t>d</w:t>
          </w:r>
          <w:r w:rsidR="0030671C" w:rsidRPr="0030671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D6134A9" w:rsidR="00076E44" w:rsidRPr="00C80B22" w:rsidRDefault="00076E44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076E44" w:rsidRPr="00C80B22" w:rsidRDefault="00076E44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076E44" w:rsidRDefault="00076E44" w:rsidP="004D5D73">
      <w:r>
        <w:separator/>
      </w:r>
    </w:p>
  </w:footnote>
  <w:footnote w:type="continuationSeparator" w:id="0">
    <w:p w14:paraId="357990E5" w14:textId="77777777" w:rsidR="00076E44" w:rsidRDefault="00076E44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582A" w14:textId="46C62E37" w:rsidR="00BA6957" w:rsidRDefault="00346372">
    <w:pPr>
      <w:pStyle w:val="Header"/>
    </w:pPr>
    <w:r>
      <w:rPr>
        <w:noProof/>
      </w:rPr>
      <w:pict w14:anchorId="63301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196516" o:spid="_x0000_s171010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3E1503CB" w:rsidR="00076E44" w:rsidRDefault="00346372" w:rsidP="00C80B22">
    <w:pPr>
      <w:pStyle w:val="Header"/>
      <w:jc w:val="both"/>
    </w:pPr>
    <w:r>
      <w:rPr>
        <w:noProof/>
      </w:rPr>
      <w:pict w14:anchorId="2D7D61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196517" o:spid="_x0000_s171011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076E44">
      <w:rPr>
        <w:noProof/>
        <w:lang w:val="en-US"/>
      </w:rPr>
      <w:tab/>
    </w:r>
    <w:r w:rsidR="00076E44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30C22B30" w:rsidR="00076E44" w:rsidRPr="00C80B22" w:rsidRDefault="00346372" w:rsidP="00871EB2">
    <w:pPr>
      <w:pStyle w:val="Header"/>
    </w:pPr>
    <w:r>
      <w:rPr>
        <w:noProof/>
      </w:rPr>
      <w:pict w14:anchorId="1B97FC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4196515" o:spid="_x0000_s171009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076E44">
      <w:rPr>
        <w:noProof/>
      </w:rPr>
      <w:drawing>
        <wp:inline distT="0" distB="0" distL="0" distR="0" wp14:anchorId="5E0EE260" wp14:editId="7824F53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73549"/>
    <w:multiLevelType w:val="multilevel"/>
    <w:tmpl w:val="F2D808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2A024709"/>
    <w:multiLevelType w:val="multilevel"/>
    <w:tmpl w:val="CBFA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42AB3"/>
    <w:multiLevelType w:val="multilevel"/>
    <w:tmpl w:val="872C2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435B7"/>
    <w:multiLevelType w:val="hybridMultilevel"/>
    <w:tmpl w:val="BA889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565C7"/>
    <w:multiLevelType w:val="multilevel"/>
    <w:tmpl w:val="BAE8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CD81BA2"/>
    <w:multiLevelType w:val="hybridMultilevel"/>
    <w:tmpl w:val="9356C8F2"/>
    <w:lvl w:ilvl="0" w:tplc="931882C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D0E94"/>
    <w:multiLevelType w:val="multilevel"/>
    <w:tmpl w:val="008E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4860B6B"/>
    <w:multiLevelType w:val="multilevel"/>
    <w:tmpl w:val="5C34D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44D49"/>
    <w:multiLevelType w:val="multilevel"/>
    <w:tmpl w:val="7768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0D310D"/>
    <w:multiLevelType w:val="multilevel"/>
    <w:tmpl w:val="1B24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1"/>
  </w:num>
  <w:num w:numId="5">
    <w:abstractNumId w:val="11"/>
  </w:num>
  <w:num w:numId="6">
    <w:abstractNumId w:val="11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13"/>
  </w:num>
  <w:num w:numId="13">
    <w:abstractNumId w:val="12"/>
  </w:num>
  <w:num w:numId="14">
    <w:abstractNumId w:val="10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71012"/>
    <o:shapelayout v:ext="edit">
      <o:idmap v:ext="edit" data="16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15C08"/>
    <w:rsid w:val="00017783"/>
    <w:rsid w:val="00041165"/>
    <w:rsid w:val="000433B1"/>
    <w:rsid w:val="0005709F"/>
    <w:rsid w:val="00057E8A"/>
    <w:rsid w:val="00061A20"/>
    <w:rsid w:val="0006231B"/>
    <w:rsid w:val="000632D0"/>
    <w:rsid w:val="00064B29"/>
    <w:rsid w:val="000655BA"/>
    <w:rsid w:val="00071450"/>
    <w:rsid w:val="00074158"/>
    <w:rsid w:val="00076E44"/>
    <w:rsid w:val="000900D6"/>
    <w:rsid w:val="0009726D"/>
    <w:rsid w:val="000A1C07"/>
    <w:rsid w:val="000A1F13"/>
    <w:rsid w:val="000B0615"/>
    <w:rsid w:val="000B22A3"/>
    <w:rsid w:val="000B4054"/>
    <w:rsid w:val="000B6770"/>
    <w:rsid w:val="000C0175"/>
    <w:rsid w:val="000C4EF6"/>
    <w:rsid w:val="000C632B"/>
    <w:rsid w:val="000D6CCE"/>
    <w:rsid w:val="000D78E2"/>
    <w:rsid w:val="000E0DA8"/>
    <w:rsid w:val="000F21FD"/>
    <w:rsid w:val="001135EF"/>
    <w:rsid w:val="00116D54"/>
    <w:rsid w:val="00120A2D"/>
    <w:rsid w:val="001249FA"/>
    <w:rsid w:val="0012740D"/>
    <w:rsid w:val="00131CEE"/>
    <w:rsid w:val="0013661B"/>
    <w:rsid w:val="0015720D"/>
    <w:rsid w:val="00160190"/>
    <w:rsid w:val="00164E27"/>
    <w:rsid w:val="00166176"/>
    <w:rsid w:val="001661B3"/>
    <w:rsid w:val="001665B7"/>
    <w:rsid w:val="00170D1F"/>
    <w:rsid w:val="0017571D"/>
    <w:rsid w:val="00180F9A"/>
    <w:rsid w:val="00181E6C"/>
    <w:rsid w:val="00182703"/>
    <w:rsid w:val="00192054"/>
    <w:rsid w:val="0019490C"/>
    <w:rsid w:val="00196023"/>
    <w:rsid w:val="001A303D"/>
    <w:rsid w:val="001A7DAD"/>
    <w:rsid w:val="001B3603"/>
    <w:rsid w:val="001B6C1D"/>
    <w:rsid w:val="001B757A"/>
    <w:rsid w:val="001B7807"/>
    <w:rsid w:val="001C2E11"/>
    <w:rsid w:val="001C34B4"/>
    <w:rsid w:val="001C431B"/>
    <w:rsid w:val="001E1272"/>
    <w:rsid w:val="001E2A55"/>
    <w:rsid w:val="001E671D"/>
    <w:rsid w:val="001F16BA"/>
    <w:rsid w:val="001F4402"/>
    <w:rsid w:val="001F6035"/>
    <w:rsid w:val="001F78F6"/>
    <w:rsid w:val="002039FE"/>
    <w:rsid w:val="00206DAD"/>
    <w:rsid w:val="00214484"/>
    <w:rsid w:val="00220A08"/>
    <w:rsid w:val="00223622"/>
    <w:rsid w:val="00231261"/>
    <w:rsid w:val="002337D9"/>
    <w:rsid w:val="002420C5"/>
    <w:rsid w:val="0025617A"/>
    <w:rsid w:val="002576E3"/>
    <w:rsid w:val="00275EC1"/>
    <w:rsid w:val="00277E44"/>
    <w:rsid w:val="002817A3"/>
    <w:rsid w:val="0028508B"/>
    <w:rsid w:val="002903ED"/>
    <w:rsid w:val="002A4909"/>
    <w:rsid w:val="002A6300"/>
    <w:rsid w:val="002B2610"/>
    <w:rsid w:val="002C266D"/>
    <w:rsid w:val="002C2DA2"/>
    <w:rsid w:val="002D493E"/>
    <w:rsid w:val="002E553F"/>
    <w:rsid w:val="002F1BF1"/>
    <w:rsid w:val="002F6323"/>
    <w:rsid w:val="002F6E78"/>
    <w:rsid w:val="0030671C"/>
    <w:rsid w:val="00322297"/>
    <w:rsid w:val="00323690"/>
    <w:rsid w:val="003322AF"/>
    <w:rsid w:val="00333EFC"/>
    <w:rsid w:val="00334FC1"/>
    <w:rsid w:val="0033630D"/>
    <w:rsid w:val="003371B5"/>
    <w:rsid w:val="00346372"/>
    <w:rsid w:val="00351034"/>
    <w:rsid w:val="00352F46"/>
    <w:rsid w:val="0035557D"/>
    <w:rsid w:val="003643E4"/>
    <w:rsid w:val="00365DAE"/>
    <w:rsid w:val="00370380"/>
    <w:rsid w:val="00376145"/>
    <w:rsid w:val="003931C0"/>
    <w:rsid w:val="003939E3"/>
    <w:rsid w:val="003C3437"/>
    <w:rsid w:val="003C3754"/>
    <w:rsid w:val="003D01C6"/>
    <w:rsid w:val="003D0C7D"/>
    <w:rsid w:val="003D4A7A"/>
    <w:rsid w:val="003E3825"/>
    <w:rsid w:val="003E524A"/>
    <w:rsid w:val="003E7757"/>
    <w:rsid w:val="003F44CE"/>
    <w:rsid w:val="00402055"/>
    <w:rsid w:val="004070DA"/>
    <w:rsid w:val="0040711F"/>
    <w:rsid w:val="00411BDF"/>
    <w:rsid w:val="00421ECB"/>
    <w:rsid w:val="004242E9"/>
    <w:rsid w:val="00430D2A"/>
    <w:rsid w:val="00442114"/>
    <w:rsid w:val="00442F85"/>
    <w:rsid w:val="0044319F"/>
    <w:rsid w:val="004444E8"/>
    <w:rsid w:val="004508BA"/>
    <w:rsid w:val="0045336F"/>
    <w:rsid w:val="00453FD9"/>
    <w:rsid w:val="0046158E"/>
    <w:rsid w:val="00466A87"/>
    <w:rsid w:val="00466D6C"/>
    <w:rsid w:val="00472022"/>
    <w:rsid w:val="0047520F"/>
    <w:rsid w:val="00475C22"/>
    <w:rsid w:val="00476B92"/>
    <w:rsid w:val="004900EF"/>
    <w:rsid w:val="00491953"/>
    <w:rsid w:val="004C179C"/>
    <w:rsid w:val="004C1DBF"/>
    <w:rsid w:val="004C3088"/>
    <w:rsid w:val="004C6FCC"/>
    <w:rsid w:val="004D340A"/>
    <w:rsid w:val="004D5D73"/>
    <w:rsid w:val="004F0391"/>
    <w:rsid w:val="004F2DF4"/>
    <w:rsid w:val="004F5933"/>
    <w:rsid w:val="00500458"/>
    <w:rsid w:val="00500C51"/>
    <w:rsid w:val="005017F3"/>
    <w:rsid w:val="005125E3"/>
    <w:rsid w:val="00512D8F"/>
    <w:rsid w:val="005133CE"/>
    <w:rsid w:val="00514EF1"/>
    <w:rsid w:val="0051642D"/>
    <w:rsid w:val="0052100B"/>
    <w:rsid w:val="00525655"/>
    <w:rsid w:val="00527F05"/>
    <w:rsid w:val="00532AF4"/>
    <w:rsid w:val="00542146"/>
    <w:rsid w:val="00543370"/>
    <w:rsid w:val="005532F6"/>
    <w:rsid w:val="00556454"/>
    <w:rsid w:val="00556BA1"/>
    <w:rsid w:val="005572B0"/>
    <w:rsid w:val="005658DD"/>
    <w:rsid w:val="00574762"/>
    <w:rsid w:val="00576CAB"/>
    <w:rsid w:val="00587EF8"/>
    <w:rsid w:val="00592D9C"/>
    <w:rsid w:val="0059561B"/>
    <w:rsid w:val="005A051F"/>
    <w:rsid w:val="005A1578"/>
    <w:rsid w:val="005A1F4A"/>
    <w:rsid w:val="005A7AEC"/>
    <w:rsid w:val="005B3A91"/>
    <w:rsid w:val="005B5926"/>
    <w:rsid w:val="005C1195"/>
    <w:rsid w:val="005C2C32"/>
    <w:rsid w:val="005C2CE6"/>
    <w:rsid w:val="005C6F8C"/>
    <w:rsid w:val="005D0FF8"/>
    <w:rsid w:val="005D22A8"/>
    <w:rsid w:val="005D3345"/>
    <w:rsid w:val="005D6BA9"/>
    <w:rsid w:val="005E1A02"/>
    <w:rsid w:val="005E6373"/>
    <w:rsid w:val="005E6A3F"/>
    <w:rsid w:val="005F7EF0"/>
    <w:rsid w:val="00614A5A"/>
    <w:rsid w:val="006166B1"/>
    <w:rsid w:val="00623D3E"/>
    <w:rsid w:val="00625B86"/>
    <w:rsid w:val="006310F8"/>
    <w:rsid w:val="00641A0A"/>
    <w:rsid w:val="00642096"/>
    <w:rsid w:val="00642EE1"/>
    <w:rsid w:val="006448D0"/>
    <w:rsid w:val="006462FC"/>
    <w:rsid w:val="006541EF"/>
    <w:rsid w:val="00661844"/>
    <w:rsid w:val="00661933"/>
    <w:rsid w:val="006663E5"/>
    <w:rsid w:val="00671795"/>
    <w:rsid w:val="006750E7"/>
    <w:rsid w:val="006840E8"/>
    <w:rsid w:val="0069349F"/>
    <w:rsid w:val="00697E32"/>
    <w:rsid w:val="006B1220"/>
    <w:rsid w:val="006D7BAF"/>
    <w:rsid w:val="006E14CE"/>
    <w:rsid w:val="006E2F97"/>
    <w:rsid w:val="006F4E7B"/>
    <w:rsid w:val="00702548"/>
    <w:rsid w:val="007047EA"/>
    <w:rsid w:val="0070698E"/>
    <w:rsid w:val="007072E8"/>
    <w:rsid w:val="0071143E"/>
    <w:rsid w:val="007233E5"/>
    <w:rsid w:val="00744EC1"/>
    <w:rsid w:val="00760E9E"/>
    <w:rsid w:val="0076191F"/>
    <w:rsid w:val="00764186"/>
    <w:rsid w:val="00764E4C"/>
    <w:rsid w:val="00766A37"/>
    <w:rsid w:val="00767CDA"/>
    <w:rsid w:val="0077316B"/>
    <w:rsid w:val="00785472"/>
    <w:rsid w:val="007869DF"/>
    <w:rsid w:val="007A116A"/>
    <w:rsid w:val="007B0B4C"/>
    <w:rsid w:val="007C1293"/>
    <w:rsid w:val="007D7D92"/>
    <w:rsid w:val="007E1249"/>
    <w:rsid w:val="007E42AD"/>
    <w:rsid w:val="007F182E"/>
    <w:rsid w:val="00801520"/>
    <w:rsid w:val="00802CBD"/>
    <w:rsid w:val="00803A90"/>
    <w:rsid w:val="008058FA"/>
    <w:rsid w:val="00810CA2"/>
    <w:rsid w:val="0081323B"/>
    <w:rsid w:val="00813664"/>
    <w:rsid w:val="008163F3"/>
    <w:rsid w:val="00817FBB"/>
    <w:rsid w:val="00822F77"/>
    <w:rsid w:val="00830203"/>
    <w:rsid w:val="00832408"/>
    <w:rsid w:val="00837A0F"/>
    <w:rsid w:val="00846B19"/>
    <w:rsid w:val="00852270"/>
    <w:rsid w:val="00856354"/>
    <w:rsid w:val="00871EB2"/>
    <w:rsid w:val="00873843"/>
    <w:rsid w:val="00876058"/>
    <w:rsid w:val="008A1EE6"/>
    <w:rsid w:val="008B1477"/>
    <w:rsid w:val="008B6AE8"/>
    <w:rsid w:val="008B77D2"/>
    <w:rsid w:val="008C3A83"/>
    <w:rsid w:val="008C3F12"/>
    <w:rsid w:val="008D3101"/>
    <w:rsid w:val="008E0BCA"/>
    <w:rsid w:val="008E35CC"/>
    <w:rsid w:val="008E74E0"/>
    <w:rsid w:val="008F28EA"/>
    <w:rsid w:val="008F2AF2"/>
    <w:rsid w:val="008F345E"/>
    <w:rsid w:val="0090146D"/>
    <w:rsid w:val="00901D8D"/>
    <w:rsid w:val="00902CA7"/>
    <w:rsid w:val="00906339"/>
    <w:rsid w:val="00911666"/>
    <w:rsid w:val="009145F8"/>
    <w:rsid w:val="00914A03"/>
    <w:rsid w:val="00914B08"/>
    <w:rsid w:val="00921FC1"/>
    <w:rsid w:val="009261D5"/>
    <w:rsid w:val="009263DE"/>
    <w:rsid w:val="00932370"/>
    <w:rsid w:val="0093718A"/>
    <w:rsid w:val="0094004B"/>
    <w:rsid w:val="009439BD"/>
    <w:rsid w:val="009500A3"/>
    <w:rsid w:val="009540BB"/>
    <w:rsid w:val="00962ACF"/>
    <w:rsid w:val="00965026"/>
    <w:rsid w:val="00973C4B"/>
    <w:rsid w:val="00983563"/>
    <w:rsid w:val="00991EA8"/>
    <w:rsid w:val="009B1024"/>
    <w:rsid w:val="009B4627"/>
    <w:rsid w:val="009B77EE"/>
    <w:rsid w:val="009C5058"/>
    <w:rsid w:val="009C52A1"/>
    <w:rsid w:val="009D1AB0"/>
    <w:rsid w:val="009D2FA1"/>
    <w:rsid w:val="009D3A87"/>
    <w:rsid w:val="009D7738"/>
    <w:rsid w:val="009F7F89"/>
    <w:rsid w:val="00A03BF3"/>
    <w:rsid w:val="00A07AEE"/>
    <w:rsid w:val="00A13716"/>
    <w:rsid w:val="00A15DF2"/>
    <w:rsid w:val="00A32667"/>
    <w:rsid w:val="00A32D3E"/>
    <w:rsid w:val="00A37C91"/>
    <w:rsid w:val="00A41143"/>
    <w:rsid w:val="00A43E22"/>
    <w:rsid w:val="00A4529F"/>
    <w:rsid w:val="00A457AF"/>
    <w:rsid w:val="00A50EA8"/>
    <w:rsid w:val="00A520D8"/>
    <w:rsid w:val="00A61150"/>
    <w:rsid w:val="00A631B8"/>
    <w:rsid w:val="00A66D42"/>
    <w:rsid w:val="00A7459B"/>
    <w:rsid w:val="00A8294B"/>
    <w:rsid w:val="00A83030"/>
    <w:rsid w:val="00A84FA7"/>
    <w:rsid w:val="00A928F0"/>
    <w:rsid w:val="00AA1C3E"/>
    <w:rsid w:val="00AA7DE0"/>
    <w:rsid w:val="00AB3CA1"/>
    <w:rsid w:val="00AB7843"/>
    <w:rsid w:val="00AC1C8D"/>
    <w:rsid w:val="00AC1CE2"/>
    <w:rsid w:val="00AC349B"/>
    <w:rsid w:val="00AC774F"/>
    <w:rsid w:val="00AD6119"/>
    <w:rsid w:val="00AD6900"/>
    <w:rsid w:val="00AE02FA"/>
    <w:rsid w:val="00AE0349"/>
    <w:rsid w:val="00AE0631"/>
    <w:rsid w:val="00AE2774"/>
    <w:rsid w:val="00AE3EE8"/>
    <w:rsid w:val="00AE5C2F"/>
    <w:rsid w:val="00AE6758"/>
    <w:rsid w:val="00B042C0"/>
    <w:rsid w:val="00B04E76"/>
    <w:rsid w:val="00B05B4C"/>
    <w:rsid w:val="00B1194B"/>
    <w:rsid w:val="00B25824"/>
    <w:rsid w:val="00B25C97"/>
    <w:rsid w:val="00B320DA"/>
    <w:rsid w:val="00B366B4"/>
    <w:rsid w:val="00B4286E"/>
    <w:rsid w:val="00B443CE"/>
    <w:rsid w:val="00B54C39"/>
    <w:rsid w:val="00B57346"/>
    <w:rsid w:val="00B62BD3"/>
    <w:rsid w:val="00B666AA"/>
    <w:rsid w:val="00B7100B"/>
    <w:rsid w:val="00B73524"/>
    <w:rsid w:val="00B95184"/>
    <w:rsid w:val="00B9732F"/>
    <w:rsid w:val="00BA3BD4"/>
    <w:rsid w:val="00BA6957"/>
    <w:rsid w:val="00BB3980"/>
    <w:rsid w:val="00BC4726"/>
    <w:rsid w:val="00BD5FDB"/>
    <w:rsid w:val="00BE1A5F"/>
    <w:rsid w:val="00BE37D8"/>
    <w:rsid w:val="00C001F9"/>
    <w:rsid w:val="00C03F12"/>
    <w:rsid w:val="00C045DC"/>
    <w:rsid w:val="00C05C44"/>
    <w:rsid w:val="00C17489"/>
    <w:rsid w:val="00C17EB1"/>
    <w:rsid w:val="00C2071E"/>
    <w:rsid w:val="00C20993"/>
    <w:rsid w:val="00C24C86"/>
    <w:rsid w:val="00C2559A"/>
    <w:rsid w:val="00C25BCC"/>
    <w:rsid w:val="00C260E3"/>
    <w:rsid w:val="00C34CAA"/>
    <w:rsid w:val="00C41DC5"/>
    <w:rsid w:val="00C42ABC"/>
    <w:rsid w:val="00C62E93"/>
    <w:rsid w:val="00C62FB6"/>
    <w:rsid w:val="00C64B61"/>
    <w:rsid w:val="00C72769"/>
    <w:rsid w:val="00C80B22"/>
    <w:rsid w:val="00C81770"/>
    <w:rsid w:val="00C9095F"/>
    <w:rsid w:val="00CA15B9"/>
    <w:rsid w:val="00CA1E59"/>
    <w:rsid w:val="00CA2185"/>
    <w:rsid w:val="00CB2680"/>
    <w:rsid w:val="00CB3A4A"/>
    <w:rsid w:val="00CC490D"/>
    <w:rsid w:val="00CC6326"/>
    <w:rsid w:val="00CD16D8"/>
    <w:rsid w:val="00CE056E"/>
    <w:rsid w:val="00CE4C66"/>
    <w:rsid w:val="00CE598D"/>
    <w:rsid w:val="00CE688D"/>
    <w:rsid w:val="00CF4AB6"/>
    <w:rsid w:val="00CF4FD0"/>
    <w:rsid w:val="00CF5644"/>
    <w:rsid w:val="00CF641E"/>
    <w:rsid w:val="00D00844"/>
    <w:rsid w:val="00D062A5"/>
    <w:rsid w:val="00D073F1"/>
    <w:rsid w:val="00D12F54"/>
    <w:rsid w:val="00D140AB"/>
    <w:rsid w:val="00D15053"/>
    <w:rsid w:val="00D17DDD"/>
    <w:rsid w:val="00D20E46"/>
    <w:rsid w:val="00D21BC3"/>
    <w:rsid w:val="00D23122"/>
    <w:rsid w:val="00D2734A"/>
    <w:rsid w:val="00D3026F"/>
    <w:rsid w:val="00D32A8C"/>
    <w:rsid w:val="00D467E6"/>
    <w:rsid w:val="00D57919"/>
    <w:rsid w:val="00D66478"/>
    <w:rsid w:val="00D73CC3"/>
    <w:rsid w:val="00D82E96"/>
    <w:rsid w:val="00D84085"/>
    <w:rsid w:val="00D86AF5"/>
    <w:rsid w:val="00D97587"/>
    <w:rsid w:val="00DB4B2A"/>
    <w:rsid w:val="00DD215D"/>
    <w:rsid w:val="00DE1561"/>
    <w:rsid w:val="00DE67DA"/>
    <w:rsid w:val="00DE76DB"/>
    <w:rsid w:val="00DF328D"/>
    <w:rsid w:val="00DF3470"/>
    <w:rsid w:val="00DF3C16"/>
    <w:rsid w:val="00DF4E06"/>
    <w:rsid w:val="00DF5539"/>
    <w:rsid w:val="00E14399"/>
    <w:rsid w:val="00E24D98"/>
    <w:rsid w:val="00E2743B"/>
    <w:rsid w:val="00E316AE"/>
    <w:rsid w:val="00E32B93"/>
    <w:rsid w:val="00E41A13"/>
    <w:rsid w:val="00E42749"/>
    <w:rsid w:val="00E444B5"/>
    <w:rsid w:val="00E53DC3"/>
    <w:rsid w:val="00E55C87"/>
    <w:rsid w:val="00E73831"/>
    <w:rsid w:val="00E86269"/>
    <w:rsid w:val="00E87A28"/>
    <w:rsid w:val="00E92DD1"/>
    <w:rsid w:val="00E97076"/>
    <w:rsid w:val="00EA621B"/>
    <w:rsid w:val="00EA6D3B"/>
    <w:rsid w:val="00EB1824"/>
    <w:rsid w:val="00EB1D3E"/>
    <w:rsid w:val="00EB22A0"/>
    <w:rsid w:val="00EB6913"/>
    <w:rsid w:val="00EC37F6"/>
    <w:rsid w:val="00EC3EBF"/>
    <w:rsid w:val="00EC6BDA"/>
    <w:rsid w:val="00ED47A2"/>
    <w:rsid w:val="00ED49DD"/>
    <w:rsid w:val="00ED74FF"/>
    <w:rsid w:val="00EE14BD"/>
    <w:rsid w:val="00EE653F"/>
    <w:rsid w:val="00EE7CA2"/>
    <w:rsid w:val="00EF3039"/>
    <w:rsid w:val="00EF3A27"/>
    <w:rsid w:val="00F13384"/>
    <w:rsid w:val="00F1677A"/>
    <w:rsid w:val="00F16C87"/>
    <w:rsid w:val="00F24392"/>
    <w:rsid w:val="00F24F40"/>
    <w:rsid w:val="00F27864"/>
    <w:rsid w:val="00F34041"/>
    <w:rsid w:val="00F347A0"/>
    <w:rsid w:val="00F37D0C"/>
    <w:rsid w:val="00F41531"/>
    <w:rsid w:val="00F46BAD"/>
    <w:rsid w:val="00F66454"/>
    <w:rsid w:val="00F80B9A"/>
    <w:rsid w:val="00F83139"/>
    <w:rsid w:val="00F91DB8"/>
    <w:rsid w:val="00F94A9D"/>
    <w:rsid w:val="00F95774"/>
    <w:rsid w:val="00F96655"/>
    <w:rsid w:val="00F97DAA"/>
    <w:rsid w:val="00FA1939"/>
    <w:rsid w:val="00FB1178"/>
    <w:rsid w:val="00FB7DB7"/>
    <w:rsid w:val="00FD216F"/>
    <w:rsid w:val="00FE4EC9"/>
    <w:rsid w:val="00FF0F1E"/>
    <w:rsid w:val="00FF35C3"/>
    <w:rsid w:val="00FF78E1"/>
    <w:rsid w:val="01420946"/>
    <w:rsid w:val="0B6D22F6"/>
    <w:rsid w:val="112A54AD"/>
    <w:rsid w:val="118964B3"/>
    <w:rsid w:val="13FF2D61"/>
    <w:rsid w:val="16D17492"/>
    <w:rsid w:val="182794F4"/>
    <w:rsid w:val="1BB61D57"/>
    <w:rsid w:val="261247F6"/>
    <w:rsid w:val="383D0181"/>
    <w:rsid w:val="3AEE9B00"/>
    <w:rsid w:val="3E2E2159"/>
    <w:rsid w:val="3EB4DF57"/>
    <w:rsid w:val="4050AFB8"/>
    <w:rsid w:val="44B748F2"/>
    <w:rsid w:val="4AF37C04"/>
    <w:rsid w:val="4E292644"/>
    <w:rsid w:val="5BE3FFDC"/>
    <w:rsid w:val="5C9E1B1C"/>
    <w:rsid w:val="66523D01"/>
    <w:rsid w:val="671ED066"/>
    <w:rsid w:val="6A5D6ADF"/>
    <w:rsid w:val="6F39B1EE"/>
    <w:rsid w:val="70DBD74B"/>
    <w:rsid w:val="725FADAD"/>
    <w:rsid w:val="7901C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12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customStyle="1" w:styleId="paragraph">
    <w:name w:val="paragraph"/>
    <w:basedOn w:val="Normal"/>
    <w:rsid w:val="00CE598D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CE598D"/>
  </w:style>
  <w:style w:type="character" w:customStyle="1" w:styleId="eop">
    <w:name w:val="eop"/>
    <w:basedOn w:val="DefaultParagraphFont"/>
    <w:rsid w:val="00CE598D"/>
  </w:style>
  <w:style w:type="character" w:customStyle="1" w:styleId="ListParagraphChar">
    <w:name w:val="List Paragraph Char"/>
    <w:link w:val="ListParagraph"/>
    <w:uiPriority w:val="34"/>
    <w:locked/>
    <w:rsid w:val="00ED47A2"/>
    <w:rPr>
      <w:sz w:val="24"/>
      <w:szCs w:val="24"/>
      <w:lang w:eastAsia="en-US"/>
    </w:rPr>
  </w:style>
  <w:style w:type="character" w:customStyle="1" w:styleId="findhit">
    <w:name w:val="findhit"/>
    <w:basedOn w:val="DefaultParagraphFont"/>
    <w:rsid w:val="00F8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2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6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0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4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3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8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0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7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94ecd273-0abb-44cd-abc1-ea712a9f597c"/>
    <ds:schemaRef ds:uri="http://schemas.microsoft.com/office/infopath/2007/PartnerControls"/>
    <ds:schemaRef ds:uri="25a5aa76-4b22-43c3-9bb9-6f2fb36d90b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28ABF6-73F3-4F4F-A4AF-CA41959B5D68}"/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C8009E-340E-4311-A2CC-23411F45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18</TotalTime>
  <Pages>7</Pages>
  <Words>1508</Words>
  <Characters>8601</Characters>
  <Application>Microsoft Office Word</Application>
  <DocSecurity>0</DocSecurity>
  <Lines>71</Lines>
  <Paragraphs>20</Paragraphs>
  <ScaleCrop>false</ScaleCrop>
  <Company>European Commission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 Team</cp:lastModifiedBy>
  <cp:revision>107</cp:revision>
  <cp:lastPrinted>2014-03-17T16:31:00Z</cp:lastPrinted>
  <dcterms:created xsi:type="dcterms:W3CDTF">2020-12-16T20:20:00Z</dcterms:created>
  <dcterms:modified xsi:type="dcterms:W3CDTF">2022-02-25T11:35:00Z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